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C81" w:rsidRPr="00DB6C81" w:rsidRDefault="00DB6C81" w:rsidP="00DB6C81">
      <w:pPr>
        <w:keepNext/>
        <w:numPr>
          <w:ilvl w:val="1"/>
          <w:numId w:val="0"/>
        </w:numPr>
        <w:tabs>
          <w:tab w:val="num" w:pos="576"/>
        </w:tabs>
        <w:spacing w:before="240" w:after="60" w:line="264" w:lineRule="auto"/>
        <w:ind w:left="578" w:hanging="578"/>
        <w:jc w:val="both"/>
        <w:outlineLvl w:val="1"/>
        <w:rPr>
          <w:rFonts w:ascii="Arial" w:eastAsia="Times New Roman" w:hAnsi="Arial" w:cs="Times New Roman"/>
          <w:lang w:eastAsia="cs-CZ"/>
        </w:rPr>
      </w:pPr>
      <w:r w:rsidRPr="00DB6C81">
        <w:rPr>
          <w:rFonts w:ascii="Arial" w:eastAsia="Times New Roman" w:hAnsi="Arial" w:cs="Times New Roman"/>
          <w:lang w:eastAsia="cs-CZ"/>
        </w:rPr>
        <w:t>Příloha č. 2 zadávací dokumentace</w:t>
      </w:r>
    </w:p>
    <w:p w:rsidR="007115FD" w:rsidRPr="00DB6C81" w:rsidRDefault="00DB6C81" w:rsidP="00DB6C81">
      <w:pPr>
        <w:keepNext/>
        <w:numPr>
          <w:ilvl w:val="1"/>
          <w:numId w:val="0"/>
        </w:numPr>
        <w:tabs>
          <w:tab w:val="num" w:pos="576"/>
        </w:tabs>
        <w:spacing w:before="240" w:after="60" w:line="264" w:lineRule="auto"/>
        <w:ind w:left="578" w:hanging="578"/>
        <w:jc w:val="both"/>
        <w:outlineLvl w:val="1"/>
        <w:rPr>
          <w:rFonts w:ascii="Arial" w:eastAsia="Times New Roman" w:hAnsi="Arial" w:cs="Times New Roman"/>
          <w:b/>
          <w:sz w:val="28"/>
          <w:szCs w:val="28"/>
          <w:lang w:eastAsia="cs-CZ"/>
        </w:rPr>
      </w:pPr>
      <w:r w:rsidRPr="00DB6C81">
        <w:rPr>
          <w:rFonts w:ascii="Arial" w:eastAsia="Times New Roman" w:hAnsi="Arial" w:cs="Times New Roman"/>
          <w:b/>
          <w:sz w:val="28"/>
          <w:szCs w:val="28"/>
          <w:lang w:eastAsia="cs-CZ"/>
        </w:rPr>
        <w:t>Popis KQI</w:t>
      </w:r>
    </w:p>
    <w:p w:rsidR="00DB6C81" w:rsidRPr="00DB6C81" w:rsidRDefault="00DB6C81" w:rsidP="00DB6C81">
      <w:pPr>
        <w:keepNext/>
        <w:numPr>
          <w:ilvl w:val="1"/>
          <w:numId w:val="0"/>
        </w:numPr>
        <w:tabs>
          <w:tab w:val="num" w:pos="576"/>
        </w:tabs>
        <w:spacing w:before="240" w:after="60" w:line="264" w:lineRule="auto"/>
        <w:ind w:left="578" w:hanging="578"/>
        <w:jc w:val="both"/>
        <w:outlineLvl w:val="1"/>
        <w:rPr>
          <w:rFonts w:ascii="Arial" w:eastAsia="Times New Roman" w:hAnsi="Arial" w:cs="Times New Roman"/>
          <w:b/>
          <w:sz w:val="28"/>
          <w:szCs w:val="28"/>
          <w:lang w:eastAsia="cs-CZ"/>
        </w:rPr>
      </w:pPr>
      <w:bookmarkStart w:id="0" w:name="_Toc304486259"/>
      <w:r w:rsidRPr="00DB6C81">
        <w:rPr>
          <w:rFonts w:ascii="Arial" w:eastAsia="Times New Roman" w:hAnsi="Arial" w:cs="Times New Roman"/>
          <w:b/>
          <w:sz w:val="28"/>
          <w:szCs w:val="28"/>
          <w:lang w:eastAsia="cs-CZ"/>
        </w:rPr>
        <w:t>Správa číselníků</w:t>
      </w:r>
      <w:bookmarkEnd w:id="0"/>
    </w:p>
    <w:p w:rsidR="00DB6C81" w:rsidRPr="00DB6C81" w:rsidRDefault="00DB6C81" w:rsidP="00DB6C81">
      <w:pPr>
        <w:spacing w:after="120" w:line="264" w:lineRule="auto"/>
        <w:rPr>
          <w:rFonts w:ascii="Arial" w:eastAsia="Times New Roman" w:hAnsi="Arial" w:cs="Times New Roman"/>
          <w:b/>
          <w:sz w:val="20"/>
          <w:szCs w:val="20"/>
          <w:lang w:eastAsia="cs-CZ"/>
        </w:rPr>
      </w:pPr>
      <w:bookmarkStart w:id="1" w:name="_GoBack"/>
      <w:bookmarkEnd w:id="1"/>
    </w:p>
    <w:p w:rsidR="00DB6C81" w:rsidRPr="00DB6C81" w:rsidRDefault="00DB6C81" w:rsidP="00DB6C81">
      <w:pPr>
        <w:keepNext/>
        <w:numPr>
          <w:ilvl w:val="2"/>
          <w:numId w:val="0"/>
        </w:numPr>
        <w:tabs>
          <w:tab w:val="num" w:pos="720"/>
        </w:tabs>
        <w:spacing w:before="240" w:after="60" w:line="264" w:lineRule="auto"/>
        <w:ind w:left="720" w:hanging="720"/>
        <w:outlineLvl w:val="2"/>
        <w:rPr>
          <w:rFonts w:ascii="Arial" w:eastAsia="Times New Roman" w:hAnsi="Arial" w:cs="Times New Roman"/>
          <w:b/>
          <w:sz w:val="24"/>
          <w:szCs w:val="20"/>
          <w:lang w:eastAsia="cs-CZ"/>
        </w:rPr>
      </w:pPr>
      <w:bookmarkStart w:id="2" w:name="_Číselník_obchodních_partnerů"/>
      <w:bookmarkStart w:id="3" w:name="_Toc304486260"/>
      <w:bookmarkEnd w:id="2"/>
      <w:r w:rsidRPr="00DB6C81">
        <w:rPr>
          <w:rFonts w:ascii="Arial" w:eastAsia="Times New Roman" w:hAnsi="Arial" w:cs="Times New Roman"/>
          <w:b/>
          <w:sz w:val="24"/>
          <w:szCs w:val="20"/>
          <w:lang w:eastAsia="cs-CZ"/>
        </w:rPr>
        <w:t>Číselník obchodních partnerů</w:t>
      </w:r>
      <w:bookmarkEnd w:id="3"/>
    </w:p>
    <w:p w:rsidR="00DB6C81" w:rsidRPr="00DB6C81" w:rsidRDefault="00DB6C81" w:rsidP="00DB6C81">
      <w:pPr>
        <w:spacing w:after="120" w:line="264" w:lineRule="auto"/>
        <w:rPr>
          <w:rFonts w:ascii="Arial" w:eastAsia="Times New Roman" w:hAnsi="Arial" w:cs="Times New Roman"/>
          <w:b/>
          <w:sz w:val="20"/>
          <w:szCs w:val="20"/>
          <w:lang w:eastAsia="cs-CZ"/>
        </w:rPr>
      </w:pPr>
    </w:p>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sz w:val="20"/>
          <w:szCs w:val="20"/>
          <w:lang w:eastAsia="cs-CZ"/>
        </w:rPr>
        <w:t>Číselník partnerů je evidován na každém zdravotnickém zařízení v rozsahu jeho potřeb. Založená data jsou automaticky pomocí webových služeb přenášena do centrální databáze QI kraje.</w:t>
      </w:r>
      <w:r w:rsidRPr="00DB6C81">
        <w:rPr>
          <w:rFonts w:ascii="Arial" w:eastAsia="Times New Roman" w:hAnsi="Arial" w:cs="Times New Roman"/>
          <w:sz w:val="20"/>
          <w:szCs w:val="20"/>
          <w:lang w:eastAsia="cs-CZ"/>
        </w:rPr>
        <w:br/>
        <w:t xml:space="preserve">Na kraji probíhá kontrola existence partnera přes IČO. V případě neexistujícího obchodního partnera </w:t>
      </w:r>
      <w:r w:rsidRPr="00DB6C81">
        <w:rPr>
          <w:rFonts w:ascii="Arial" w:eastAsia="Times New Roman" w:hAnsi="Arial" w:cs="Times New Roman"/>
          <w:sz w:val="20"/>
          <w:szCs w:val="20"/>
          <w:lang w:eastAsia="cs-CZ"/>
        </w:rPr>
        <w:br/>
        <w:t xml:space="preserve">dochází k jeho založení na centrální databázi. Při založení v centrální databázi je partnerovi vygenerován jedinečný kód partnera, který je zpětně vracen na příslušné zdravotnické zařízení jako potvrzení o zaevidování v centrální databázi.  Pokud již partner v centrální databázi existuje, není nově zakládán a je pouze vracen jeho jedinečný kód. </w:t>
      </w:r>
      <w:r w:rsidRPr="00DB6C81">
        <w:rPr>
          <w:rFonts w:ascii="Arial" w:eastAsia="Times New Roman" w:hAnsi="Arial" w:cs="Times New Roman"/>
          <w:sz w:val="20"/>
          <w:szCs w:val="20"/>
          <w:lang w:eastAsia="cs-CZ"/>
        </w:rPr>
        <w:br/>
        <w:t xml:space="preserve">Na centrální databázi je partner evidován jen jednou a je začleněn do skupin, tzn. je zařazen do skupiny zdravotnického zařízení, na kterém se s partnerem pracuje. Na tato ZZ jsou přes webové služby (WS) přenášeny z KV centrální změny adres, např. při změně sídla partnera. </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object w:dxaOrig="10820" w:dyaOrig="160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65pt;height:672.65pt" o:ole="">
            <v:imagedata r:id="rId4" o:title=""/>
          </v:shape>
          <o:OLEObject Type="Embed" ProgID="Visio.Drawing.11" ShapeID="_x0000_i1025" DrawAspect="Content" ObjectID="_1757323855" r:id="rId5"/>
        </w:object>
      </w:r>
      <w:r w:rsidRPr="00DB6C81">
        <w:rPr>
          <w:rFonts w:ascii="Arial" w:eastAsia="Times New Roman" w:hAnsi="Arial" w:cs="Times New Roman"/>
          <w:sz w:val="20"/>
          <w:szCs w:val="20"/>
          <w:lang w:eastAsia="cs-CZ"/>
        </w:rPr>
        <w:t xml:space="preserve"> </w:t>
      </w:r>
      <w:r w:rsidRPr="00DB6C81">
        <w:rPr>
          <w:rFonts w:ascii="Arial" w:eastAsia="Times New Roman" w:hAnsi="Arial" w:cs="Times New Roman"/>
          <w:sz w:val="20"/>
          <w:szCs w:val="20"/>
          <w:lang w:eastAsia="cs-CZ"/>
        </w:rPr>
        <w:br/>
        <w:t>Postup založení partnera na ZZ je specifikován typovým procesem. Současně je řešena možnost</w:t>
      </w:r>
      <w:r w:rsidRPr="00DB6C81">
        <w:rPr>
          <w:rFonts w:ascii="Arial" w:eastAsia="Times New Roman" w:hAnsi="Arial" w:cs="Times New Roman"/>
          <w:sz w:val="20"/>
          <w:szCs w:val="20"/>
          <w:lang w:eastAsia="cs-CZ"/>
        </w:rPr>
        <w:br/>
        <w:t>převzetí dat partnera z centrální databáze QI KV.</w:t>
      </w:r>
    </w:p>
    <w:p w:rsidR="00DB6C81" w:rsidRPr="00DB6C81" w:rsidRDefault="00DB6C81" w:rsidP="00DB6C81">
      <w:pPr>
        <w:keepNext/>
        <w:numPr>
          <w:ilvl w:val="2"/>
          <w:numId w:val="0"/>
        </w:numPr>
        <w:tabs>
          <w:tab w:val="num" w:pos="720"/>
        </w:tabs>
        <w:spacing w:before="240" w:after="60" w:line="264" w:lineRule="auto"/>
        <w:ind w:left="720" w:hanging="720"/>
        <w:outlineLvl w:val="2"/>
        <w:rPr>
          <w:rFonts w:ascii="Arial" w:eastAsia="Times New Roman" w:hAnsi="Arial" w:cs="Times New Roman"/>
          <w:b/>
          <w:sz w:val="24"/>
          <w:szCs w:val="20"/>
          <w:lang w:eastAsia="cs-CZ"/>
        </w:rPr>
      </w:pPr>
      <w:bookmarkStart w:id="4" w:name="_Číselník_zboží"/>
      <w:bookmarkStart w:id="5" w:name="_Toc304486261"/>
      <w:bookmarkEnd w:id="4"/>
      <w:r w:rsidRPr="00DB6C81">
        <w:rPr>
          <w:rFonts w:ascii="Arial" w:eastAsia="Times New Roman" w:hAnsi="Arial" w:cs="Times New Roman"/>
          <w:b/>
          <w:sz w:val="24"/>
          <w:szCs w:val="20"/>
          <w:lang w:eastAsia="cs-CZ"/>
        </w:rPr>
        <w:lastRenderedPageBreak/>
        <w:t>Číselník zboží</w:t>
      </w:r>
      <w:bookmarkEnd w:id="5"/>
    </w:p>
    <w:p w:rsidR="00DB6C81" w:rsidRPr="00DB6C81" w:rsidRDefault="00DB6C81" w:rsidP="00DB6C81">
      <w:pPr>
        <w:spacing w:after="120" w:line="264" w:lineRule="auto"/>
        <w:rPr>
          <w:rFonts w:ascii="Arial" w:eastAsia="Times New Roman" w:hAnsi="Arial" w:cs="Times New Roman"/>
          <w:sz w:val="20"/>
          <w:szCs w:val="20"/>
          <w:lang w:eastAsia="cs-CZ"/>
        </w:rPr>
      </w:pPr>
    </w:p>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sz w:val="20"/>
          <w:szCs w:val="20"/>
          <w:lang w:eastAsia="cs-CZ"/>
        </w:rPr>
        <w:t xml:space="preserve">Požadavek na založení nové položky vznikne v příslušném ZZ. Zdravotnické zařízení bude při založení položky užívat vlastní kód položky s uvozujícím prefixem dle návrhu rozdělení věcných skupin položek.  </w:t>
      </w:r>
      <w:r w:rsidRPr="00DB6C81">
        <w:rPr>
          <w:rFonts w:ascii="Arial" w:eastAsia="Times New Roman" w:hAnsi="Arial" w:cs="Times New Roman"/>
          <w:sz w:val="20"/>
          <w:szCs w:val="20"/>
          <w:lang w:eastAsia="cs-CZ"/>
        </w:rPr>
        <w:br/>
        <w:t xml:space="preserve">Při založení položky ZZ zapíše kód položky, název, MJ, kód DPH, typ položky, zda je položka skladovaná či zda se jedná o službu, věcná skupina položek, účetní skupina zboží, kód SUKL dle typového procesu. Důležitým údajem je unikátní kód EAN, který bude sloužit pro kontrolu existence položky na centrálním QI KV. </w:t>
      </w:r>
      <w:r w:rsidRPr="00DB6C81">
        <w:rPr>
          <w:rFonts w:ascii="Arial" w:eastAsia="Times New Roman" w:hAnsi="Arial" w:cs="Times New Roman"/>
          <w:sz w:val="20"/>
          <w:szCs w:val="20"/>
          <w:lang w:eastAsia="cs-CZ"/>
        </w:rPr>
        <w:br/>
        <w:t>Po založení položky na ZZ, dochází k přenosu položky na QI KV, kde se ověří, kontrolou přes EAN, existence položky. Pokud neexistuje, založí se a přidělí se jedinečný kód v centrální databázi QI KV, který se přes webové služby vrátí do QI ZZ které požadavek na založení položky vyvolalo.</w:t>
      </w:r>
      <w:r w:rsidRPr="00DB6C81">
        <w:rPr>
          <w:rFonts w:ascii="Arial" w:eastAsia="Times New Roman" w:hAnsi="Arial" w:cs="Times New Roman"/>
          <w:sz w:val="20"/>
          <w:szCs w:val="20"/>
          <w:lang w:eastAsia="cs-CZ"/>
        </w:rPr>
        <w:br/>
        <w:t>V případě, že položka již ve QI KV existuje, vrací se jen unikátní kód položky KV na příslušné ZZ.</w:t>
      </w:r>
      <w:r w:rsidRPr="00DB6C81">
        <w:rPr>
          <w:rFonts w:ascii="Arial" w:eastAsia="Times New Roman" w:hAnsi="Arial" w:cs="Times New Roman"/>
          <w:sz w:val="20"/>
          <w:szCs w:val="20"/>
          <w:lang w:eastAsia="cs-CZ"/>
        </w:rPr>
        <w:br/>
        <w:t>Kód položky KV bude na QI ZZ uložen do atributu interní kód položky. Položka na QI KV je současně zařazena do skupin položek patřící danému ZZ. Na centrálním QI KV lze tak vždy získat přehled o všech položkách využívaných příslušným ZZ.</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br/>
        <w:t>Existuje však skupina položek, které budou využívány pouze daným ZZ, bez EAN a tyto položky budou také předávány do QI KV, ale nebudou nikdy využity jako společná položka všech ZZ KV.</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br/>
        <w:t xml:space="preserve">Distribuovaný číselník účetních skupin zboží v sobě zahrnuje atribut předurčující povinnost položky k autorizaci krajem. Tento atribut bude při založení položky a doplnění povinné účetní skupiny zboží </w:t>
      </w:r>
      <w:r w:rsidRPr="00DB6C81">
        <w:rPr>
          <w:rFonts w:ascii="Arial" w:eastAsia="Times New Roman" w:hAnsi="Arial" w:cs="Times New Roman"/>
          <w:sz w:val="20"/>
          <w:szCs w:val="20"/>
          <w:lang w:eastAsia="cs-CZ"/>
        </w:rPr>
        <w:br/>
        <w:t>přenesen do atributu číselníku zboží. Zde je možnost, dle volby ZZ, tuto povinnost autorizace zrušit.</w:t>
      </w:r>
      <w:r w:rsidRPr="00DB6C81">
        <w:rPr>
          <w:rFonts w:ascii="Arial" w:eastAsia="Times New Roman" w:hAnsi="Arial" w:cs="Times New Roman"/>
          <w:sz w:val="20"/>
          <w:szCs w:val="20"/>
          <w:lang w:eastAsia="cs-CZ"/>
        </w:rPr>
        <w:br/>
      </w:r>
    </w:p>
    <w:p w:rsidR="00DB6C81" w:rsidRPr="00DB6C81" w:rsidRDefault="00DB6C81" w:rsidP="00DB6C81">
      <w:pPr>
        <w:spacing w:after="120" w:line="264" w:lineRule="auto"/>
        <w:rPr>
          <w:rFonts w:ascii="Arial" w:eastAsia="Times New Roman" w:hAnsi="Arial" w:cs="Times New Roman"/>
          <w:b/>
          <w:sz w:val="20"/>
          <w:szCs w:val="20"/>
          <w:lang w:eastAsia="cs-CZ"/>
        </w:rPr>
      </w:pPr>
      <w:r w:rsidRPr="00DB6C81">
        <w:rPr>
          <w:rFonts w:ascii="Arial" w:eastAsia="Times New Roman" w:hAnsi="Arial" w:cs="Times New Roman"/>
          <w:sz w:val="20"/>
          <w:szCs w:val="20"/>
          <w:lang w:eastAsia="cs-CZ"/>
        </w:rPr>
        <w:t>Položka přenesená na QI KV není autorizována automaticky, ale čeká na autorizaci odpovědnými pracovníky kraje. Po provedené autorizaci se WS vrací příznak autorizace na všechna ZZ, na kterých je daná položka využita (zařazení do skupin ZZ na QI KV). Autorizované položky Krajem Vysočina tvoří současně část pozitivního listu zdravotnického zařízení.</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br/>
      </w:r>
      <w:r w:rsidRPr="00DB6C81">
        <w:rPr>
          <w:rFonts w:ascii="Arial" w:eastAsia="Times New Roman" w:hAnsi="Arial" w:cs="Times New Roman"/>
          <w:b/>
          <w:sz w:val="20"/>
          <w:szCs w:val="20"/>
          <w:lang w:eastAsia="cs-CZ"/>
        </w:rPr>
        <w:t xml:space="preserve">Dodací podmínky </w:t>
      </w:r>
    </w:p>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sz w:val="20"/>
          <w:szCs w:val="20"/>
          <w:lang w:eastAsia="cs-CZ"/>
        </w:rPr>
        <w:t>V systémech KV i ZZ bude dodržována jedinečnost položky vzhledem ke kódu EAN výrobce s možností zaevidování více dodavatelů k položce v dodacích podmínkách nákupu v QI.</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br/>
        <w:t xml:space="preserve">Dodací podmínky lze doplnit na formuláři „Přehled dodacích podmínek při nákupu zboží“ </w:t>
      </w:r>
      <w:r w:rsidRPr="00DB6C81">
        <w:rPr>
          <w:rFonts w:ascii="Arial" w:eastAsia="Times New Roman" w:hAnsi="Arial" w:cs="Times New Roman"/>
          <w:sz w:val="20"/>
          <w:szCs w:val="20"/>
          <w:lang w:eastAsia="cs-CZ"/>
        </w:rPr>
        <w:br/>
        <w:t>- identifikace autorizovaného dodavatele</w:t>
      </w:r>
      <w:r w:rsidRPr="00DB6C81">
        <w:rPr>
          <w:rFonts w:ascii="Arial" w:eastAsia="Times New Roman" w:hAnsi="Arial" w:cs="Times New Roman"/>
          <w:sz w:val="20"/>
          <w:szCs w:val="20"/>
          <w:lang w:eastAsia="cs-CZ"/>
        </w:rPr>
        <w:br/>
        <w:t>- dodavatelské parametry (kód, název u dodavatele)</w:t>
      </w:r>
      <w:r w:rsidRPr="00DB6C81">
        <w:rPr>
          <w:rFonts w:ascii="Arial" w:eastAsia="Times New Roman" w:hAnsi="Arial" w:cs="Times New Roman"/>
          <w:sz w:val="20"/>
          <w:szCs w:val="20"/>
          <w:lang w:eastAsia="cs-CZ"/>
        </w:rPr>
        <w:br/>
        <w:t>- smluvní podmínky cena, dodací lhůta, objednací množství, objednací MJ nejsou na ZZ povinné</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br/>
        <w:t>Dodací podmínky zaevidované na ZZ jsou podmínkami ZZ a nejsou přenášeny do QI KV.</w:t>
      </w:r>
      <w:r w:rsidRPr="00DB6C81">
        <w:rPr>
          <w:rFonts w:ascii="Arial" w:eastAsia="Times New Roman" w:hAnsi="Arial" w:cs="Times New Roman"/>
          <w:sz w:val="20"/>
          <w:szCs w:val="20"/>
          <w:lang w:eastAsia="cs-CZ"/>
        </w:rPr>
        <w:br/>
        <w:t>O skutečných podmínkách dodávek v ZZ je kraj informován ze statistik sehrávaných dat příjmů položek nákupem.</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br/>
        <w:t xml:space="preserve">Na databázi QI KV lze však provést zaevidování </w:t>
      </w:r>
      <w:proofErr w:type="spellStart"/>
      <w:r w:rsidRPr="00DB6C81">
        <w:rPr>
          <w:rFonts w:ascii="Arial" w:eastAsia="Times New Roman" w:hAnsi="Arial" w:cs="Times New Roman"/>
          <w:sz w:val="20"/>
          <w:szCs w:val="20"/>
          <w:lang w:eastAsia="cs-CZ"/>
        </w:rPr>
        <w:t>vysoutěžených</w:t>
      </w:r>
      <w:proofErr w:type="spellEnd"/>
      <w:r w:rsidRPr="00DB6C81">
        <w:rPr>
          <w:rFonts w:ascii="Arial" w:eastAsia="Times New Roman" w:hAnsi="Arial" w:cs="Times New Roman"/>
          <w:sz w:val="20"/>
          <w:szCs w:val="20"/>
          <w:lang w:eastAsia="cs-CZ"/>
        </w:rPr>
        <w:t xml:space="preserve"> cen dodavatelů a pro vítězného dodavatele položky, označeného A, lze provést distribuci dodavatelských podmínek na všechna ZZ</w:t>
      </w:r>
      <w:r w:rsidRPr="00DB6C81">
        <w:rPr>
          <w:rFonts w:ascii="Arial" w:eastAsia="Times New Roman" w:hAnsi="Arial" w:cs="Times New Roman"/>
          <w:sz w:val="20"/>
          <w:szCs w:val="20"/>
          <w:lang w:eastAsia="cs-CZ"/>
        </w:rPr>
        <w:br/>
        <w:t>užívající tuto položku.  Pokud ZZ nemá dodavatele v dodacích podmínkách, bude jim založen,</w:t>
      </w:r>
      <w:r w:rsidRPr="00DB6C81">
        <w:rPr>
          <w:rFonts w:ascii="Arial" w:eastAsia="Times New Roman" w:hAnsi="Arial" w:cs="Times New Roman"/>
          <w:sz w:val="20"/>
          <w:szCs w:val="20"/>
          <w:lang w:eastAsia="cs-CZ"/>
        </w:rPr>
        <w:br/>
        <w:t>pokud je v dodacích podmínkách dodavatel s vyšší cenou, tak bude provedena aktualizace dodacích podmínek, při výhodnější ceně na ZZ, bude cena ponechána a pouze zaslána emailová informace o požadavku kraje na změnu podmínek dodavatele.</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br/>
        <w:t>Pozitivní listy oddělení lze definovat pomocí přístupových práv na skupiny položek.</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object w:dxaOrig="9164" w:dyaOrig="16466">
          <v:shape id="_x0000_i1026" type="#_x0000_t75" style="width:380pt;height:682.65pt" o:ole="">
            <v:imagedata r:id="rId6" o:title=""/>
          </v:shape>
          <o:OLEObject Type="Embed" ProgID="Visio.Drawing.11" ShapeID="_x0000_i1026" DrawAspect="Content" ObjectID="_1757323856" r:id="rId7"/>
        </w:objec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object w:dxaOrig="9435" w:dyaOrig="12647">
          <v:shape id="_x0000_i1027" type="#_x0000_t75" style="width:452.65pt;height:608pt" o:ole="">
            <v:imagedata r:id="rId8" o:title=""/>
          </v:shape>
          <o:OLEObject Type="Embed" ProgID="Visio.Drawing.11" ShapeID="_x0000_i1027" DrawAspect="Content" ObjectID="_1757323857" r:id="rId9"/>
        </w:object>
      </w:r>
    </w:p>
    <w:p w:rsidR="00DB6C81" w:rsidRPr="00DB6C81" w:rsidRDefault="00DB6C81" w:rsidP="00DB6C81">
      <w:pPr>
        <w:spacing w:after="120" w:line="264" w:lineRule="auto"/>
        <w:rPr>
          <w:rFonts w:ascii="Arial" w:eastAsia="Times New Roman" w:hAnsi="Arial" w:cs="Times New Roman"/>
          <w:sz w:val="20"/>
          <w:szCs w:val="20"/>
          <w:lang w:eastAsia="cs-CZ"/>
        </w:rPr>
      </w:pPr>
    </w:p>
    <w:p w:rsidR="00DB6C81" w:rsidRPr="00DB6C81" w:rsidRDefault="00DB6C81" w:rsidP="00DB6C81">
      <w:pPr>
        <w:spacing w:after="120" w:line="264" w:lineRule="auto"/>
        <w:rPr>
          <w:rFonts w:ascii="Arial" w:eastAsia="Times New Roman" w:hAnsi="Arial" w:cs="Times New Roman"/>
          <w:sz w:val="20"/>
          <w:szCs w:val="20"/>
          <w:lang w:eastAsia="cs-CZ"/>
        </w:rPr>
      </w:pPr>
    </w:p>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br/>
      </w:r>
      <w:r w:rsidRPr="00DB6C81">
        <w:rPr>
          <w:rFonts w:ascii="Arial" w:eastAsia="Times New Roman" w:hAnsi="Arial" w:cs="Times New Roman"/>
          <w:b/>
          <w:sz w:val="20"/>
          <w:szCs w:val="20"/>
          <w:lang w:eastAsia="cs-CZ"/>
        </w:rPr>
        <w:lastRenderedPageBreak/>
        <w:t>Počáteční stavy</w:t>
      </w:r>
      <w:r w:rsidRPr="00DB6C81">
        <w:rPr>
          <w:rFonts w:ascii="Arial" w:eastAsia="Times New Roman" w:hAnsi="Arial" w:cs="Times New Roman"/>
          <w:sz w:val="20"/>
          <w:szCs w:val="20"/>
          <w:lang w:eastAsia="cs-CZ"/>
        </w:rPr>
        <w:br/>
        <w:t xml:space="preserve">Nasazení počátečních stavů položek číselníku zboží bude provedeno na centrální konfigurační databázi QI KV. Výchozím seznamem položek může být </w:t>
      </w:r>
      <w:proofErr w:type="spellStart"/>
      <w:r w:rsidRPr="00DB6C81">
        <w:rPr>
          <w:rFonts w:ascii="Arial" w:eastAsia="Times New Roman" w:hAnsi="Arial" w:cs="Times New Roman"/>
          <w:sz w:val="20"/>
          <w:szCs w:val="20"/>
          <w:lang w:eastAsia="cs-CZ"/>
        </w:rPr>
        <w:t>Neos</w:t>
      </w:r>
      <w:proofErr w:type="spellEnd"/>
      <w:r w:rsidRPr="00DB6C81">
        <w:rPr>
          <w:rFonts w:ascii="Arial" w:eastAsia="Times New Roman" w:hAnsi="Arial" w:cs="Times New Roman"/>
          <w:sz w:val="20"/>
          <w:szCs w:val="20"/>
          <w:lang w:eastAsia="cs-CZ"/>
        </w:rPr>
        <w:t xml:space="preserve"> a položky jednotlivých ZZ včetně dodacích podmínek dle uvážení kraje. Data musí být vyčištěna a doplněna o EAN.</w:t>
      </w:r>
      <w:r w:rsidRPr="00DB6C81">
        <w:rPr>
          <w:rFonts w:ascii="Arial" w:eastAsia="Times New Roman" w:hAnsi="Arial" w:cs="Times New Roman"/>
          <w:sz w:val="20"/>
          <w:szCs w:val="20"/>
          <w:lang w:eastAsia="cs-CZ"/>
        </w:rPr>
        <w:br/>
        <w:t xml:space="preserve">Položky z QI KV bude možno přenést do ZZ funkce volané tlačítkem v číselníku zboží ZZ. Nabídne se pohled do dat externí databáze QI KV s možností </w:t>
      </w:r>
      <w:proofErr w:type="spellStart"/>
      <w:r w:rsidRPr="00DB6C81">
        <w:rPr>
          <w:rFonts w:ascii="Arial" w:eastAsia="Times New Roman" w:hAnsi="Arial" w:cs="Times New Roman"/>
          <w:sz w:val="20"/>
          <w:szCs w:val="20"/>
          <w:lang w:eastAsia="cs-CZ"/>
        </w:rPr>
        <w:t>multivýběru</w:t>
      </w:r>
      <w:proofErr w:type="spellEnd"/>
      <w:r w:rsidRPr="00DB6C81">
        <w:rPr>
          <w:rFonts w:ascii="Arial" w:eastAsia="Times New Roman" w:hAnsi="Arial" w:cs="Times New Roman"/>
          <w:sz w:val="20"/>
          <w:szCs w:val="20"/>
          <w:lang w:eastAsia="cs-CZ"/>
        </w:rPr>
        <w:t xml:space="preserve"> položek a zvolením funkce přenos položek. Vybrané položky budou založeny do QI ZZ dle identifikací QI KV. </w:t>
      </w:r>
      <w:r w:rsidRPr="00DB6C81">
        <w:rPr>
          <w:rFonts w:ascii="Arial" w:eastAsia="Times New Roman" w:hAnsi="Arial" w:cs="Times New Roman"/>
          <w:sz w:val="20"/>
          <w:szCs w:val="20"/>
          <w:lang w:eastAsia="cs-CZ"/>
        </w:rPr>
        <w:br/>
        <w:t>Tím bude zajištěna možnost hromadného převzetí dat číselníku zboží jen pro užívané položky daného zařízení. Proces autorizace však musí proběhnout standardním způsobem pro zajištění kontroly užívaných položek ZZ.</w:t>
      </w:r>
      <w:r w:rsidRPr="00DB6C81">
        <w:rPr>
          <w:rFonts w:ascii="Arial" w:eastAsia="Times New Roman" w:hAnsi="Arial" w:cs="Times New Roman"/>
          <w:sz w:val="20"/>
          <w:szCs w:val="20"/>
          <w:lang w:eastAsia="cs-CZ"/>
        </w:rPr>
        <w:br/>
      </w:r>
    </w:p>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b/>
          <w:sz w:val="20"/>
          <w:szCs w:val="20"/>
          <w:lang w:eastAsia="cs-CZ"/>
        </w:rPr>
        <w:t>Neautorizovaná položka</w:t>
      </w:r>
      <w:r w:rsidRPr="00DB6C81">
        <w:rPr>
          <w:rFonts w:ascii="Arial" w:eastAsia="Times New Roman" w:hAnsi="Arial" w:cs="Times New Roman"/>
          <w:sz w:val="20"/>
          <w:szCs w:val="20"/>
          <w:lang w:eastAsia="cs-CZ"/>
        </w:rPr>
        <w:br/>
        <w:t>Z QI KV se do QI ZZ přenese informace o neudělení autorizace s textovou informací o důvodu.</w:t>
      </w:r>
      <w:r w:rsidRPr="00DB6C81">
        <w:rPr>
          <w:rFonts w:ascii="Arial" w:eastAsia="Times New Roman" w:hAnsi="Arial" w:cs="Times New Roman"/>
          <w:sz w:val="20"/>
          <w:szCs w:val="20"/>
          <w:lang w:eastAsia="cs-CZ"/>
        </w:rPr>
        <w:br/>
        <w:t>Dle směrnic musí ZZ položku přestat používat, tzn. vyřadit nebo zablokovat k použití v dokladech.</w:t>
      </w:r>
      <w:r w:rsidRPr="00DB6C81">
        <w:rPr>
          <w:rFonts w:ascii="Arial" w:eastAsia="Times New Roman" w:hAnsi="Arial" w:cs="Times New Roman"/>
          <w:sz w:val="20"/>
          <w:szCs w:val="20"/>
          <w:lang w:eastAsia="cs-CZ"/>
        </w:rPr>
        <w:br/>
        <w:t>Pokud nebyla položka použita, je možno položku smazat, s přenosem informace do QI KV na vyřazení ze skupiny. Výmaz položky v QI ZZ nemaže automaticky založenou položku v QI KV.</w:t>
      </w:r>
    </w:p>
    <w:p w:rsidR="00DB6C81" w:rsidRPr="00DB6C81" w:rsidRDefault="00DB6C81" w:rsidP="00DB6C81">
      <w:pPr>
        <w:spacing w:after="120" w:line="264" w:lineRule="auto"/>
        <w:rPr>
          <w:rFonts w:ascii="Arial" w:eastAsia="Times New Roman" w:hAnsi="Arial" w:cs="Times New Roman"/>
          <w:sz w:val="20"/>
          <w:szCs w:val="20"/>
          <w:lang w:eastAsia="cs-CZ"/>
        </w:rPr>
      </w:pPr>
    </w:p>
    <w:tbl>
      <w:tblPr>
        <w:tblW w:w="6536" w:type="dxa"/>
        <w:tblInd w:w="55" w:type="dxa"/>
        <w:tblCellMar>
          <w:left w:w="70" w:type="dxa"/>
          <w:right w:w="70" w:type="dxa"/>
        </w:tblCellMar>
        <w:tblLook w:val="04A0" w:firstRow="1" w:lastRow="0" w:firstColumn="1" w:lastColumn="0" w:noHBand="0" w:noVBand="1"/>
      </w:tblPr>
      <w:tblGrid>
        <w:gridCol w:w="6376"/>
        <w:gridCol w:w="160"/>
      </w:tblGrid>
      <w:tr w:rsidR="00DB6C81" w:rsidRPr="00DB6C81" w:rsidTr="00BC6B78">
        <w:trPr>
          <w:trHeight w:val="276"/>
        </w:trPr>
        <w:tc>
          <w:tcPr>
            <w:tcW w:w="6376" w:type="dxa"/>
            <w:tcBorders>
              <w:top w:val="nil"/>
              <w:left w:val="nil"/>
              <w:bottom w:val="nil"/>
              <w:right w:val="nil"/>
            </w:tcBorders>
            <w:shd w:val="clear" w:color="auto" w:fill="auto"/>
            <w:noWrap/>
            <w:vAlign w:val="bottom"/>
          </w:tcPr>
          <w:p w:rsidR="00DB6C81" w:rsidRPr="00DB6C81" w:rsidRDefault="00DB6C81" w:rsidP="00DB6C81">
            <w:pPr>
              <w:spacing w:after="0" w:line="264" w:lineRule="auto"/>
              <w:rPr>
                <w:rFonts w:ascii="Arial" w:eastAsia="Times New Roman" w:hAnsi="Arial" w:cs="Times New Roman"/>
                <w:b/>
                <w:sz w:val="20"/>
                <w:szCs w:val="20"/>
                <w:lang w:eastAsia="cs-CZ"/>
              </w:rPr>
            </w:pPr>
            <w:r w:rsidRPr="00DB6C81">
              <w:rPr>
                <w:rFonts w:ascii="Arial" w:eastAsia="Times New Roman" w:hAnsi="Arial" w:cs="Times New Roman"/>
                <w:b/>
                <w:sz w:val="20"/>
                <w:szCs w:val="20"/>
                <w:lang w:eastAsia="cs-CZ"/>
              </w:rPr>
              <w:t>Návrh prefixu kódu položky číselníku zboží ZZ a věcného členění:</w:t>
            </w:r>
            <w:r w:rsidRPr="00DB6C81">
              <w:rPr>
                <w:rFonts w:ascii="Arial" w:eastAsia="Times New Roman" w:hAnsi="Arial" w:cs="Times New Roman"/>
                <w:b/>
                <w:sz w:val="20"/>
                <w:szCs w:val="20"/>
                <w:lang w:eastAsia="cs-CZ"/>
              </w:rPr>
              <w:br/>
            </w:r>
            <w:r w:rsidRPr="00DB6C81">
              <w:rPr>
                <w:rFonts w:ascii="Arial" w:eastAsia="Times New Roman" w:hAnsi="Arial" w:cs="Times New Roman"/>
                <w:sz w:val="20"/>
                <w:szCs w:val="20"/>
                <w:lang w:eastAsia="cs-CZ"/>
              </w:rPr>
              <w:t>A – materiál autodopravy</w:t>
            </w:r>
            <w:r w:rsidRPr="00DB6C81">
              <w:rPr>
                <w:rFonts w:ascii="Arial" w:eastAsia="Times New Roman" w:hAnsi="Arial" w:cs="Times New Roman"/>
                <w:sz w:val="20"/>
                <w:szCs w:val="20"/>
                <w:lang w:eastAsia="cs-CZ"/>
              </w:rPr>
              <w:br/>
              <w:t>B – materiál správy budov</w:t>
            </w:r>
            <w:r w:rsidRPr="00DB6C81">
              <w:rPr>
                <w:rFonts w:ascii="Arial" w:eastAsia="Times New Roman" w:hAnsi="Arial" w:cs="Times New Roman"/>
                <w:sz w:val="20"/>
                <w:szCs w:val="20"/>
                <w:lang w:eastAsia="cs-CZ"/>
              </w:rPr>
              <w:br/>
              <w:t>H – pohonné hmoty, oleje, atd.…</w:t>
            </w:r>
            <w:r w:rsidRPr="00DB6C81">
              <w:rPr>
                <w:rFonts w:ascii="Arial" w:eastAsia="Times New Roman" w:hAnsi="Arial" w:cs="Times New Roman"/>
                <w:sz w:val="20"/>
                <w:szCs w:val="20"/>
                <w:lang w:eastAsia="cs-CZ"/>
              </w:rPr>
              <w:br/>
              <w:t>I – IT materiál</w:t>
            </w:r>
            <w:r w:rsidRPr="00DB6C81">
              <w:rPr>
                <w:rFonts w:ascii="Arial" w:eastAsia="Times New Roman" w:hAnsi="Arial" w:cs="Times New Roman"/>
                <w:sz w:val="20"/>
                <w:szCs w:val="20"/>
                <w:lang w:eastAsia="cs-CZ"/>
              </w:rPr>
              <w:br/>
              <w:t>L – léky</w:t>
            </w:r>
            <w:r w:rsidRPr="00DB6C81">
              <w:rPr>
                <w:rFonts w:ascii="Arial" w:eastAsia="Times New Roman" w:hAnsi="Arial" w:cs="Times New Roman"/>
                <w:sz w:val="20"/>
                <w:szCs w:val="20"/>
                <w:lang w:eastAsia="cs-CZ"/>
              </w:rPr>
              <w:br/>
              <w:t>K – materiál konsignačních skladů</w:t>
            </w:r>
            <w:r w:rsidRPr="00DB6C81">
              <w:rPr>
                <w:rFonts w:ascii="Arial" w:eastAsia="Times New Roman" w:hAnsi="Arial" w:cs="Times New Roman"/>
                <w:sz w:val="20"/>
                <w:szCs w:val="20"/>
                <w:lang w:eastAsia="cs-CZ"/>
              </w:rPr>
              <w:br/>
              <w:t>M – materiál technického zabezpečení</w:t>
            </w:r>
            <w:r w:rsidRPr="00DB6C81">
              <w:rPr>
                <w:rFonts w:ascii="Arial" w:eastAsia="Times New Roman" w:hAnsi="Arial" w:cs="Times New Roman"/>
                <w:sz w:val="20"/>
                <w:szCs w:val="20"/>
                <w:lang w:eastAsia="cs-CZ"/>
              </w:rPr>
              <w:br/>
              <w:t>N – zdravotnická technika</w:t>
            </w:r>
            <w:r w:rsidRPr="00DB6C81">
              <w:rPr>
                <w:rFonts w:ascii="Arial" w:eastAsia="Times New Roman" w:hAnsi="Arial" w:cs="Times New Roman"/>
                <w:sz w:val="20"/>
                <w:szCs w:val="20"/>
                <w:lang w:eastAsia="cs-CZ"/>
              </w:rPr>
              <w:br/>
              <w:t>P – potraviny</w:t>
            </w:r>
            <w:r w:rsidRPr="00DB6C81">
              <w:rPr>
                <w:rFonts w:ascii="Arial" w:eastAsia="Times New Roman" w:hAnsi="Arial" w:cs="Times New Roman"/>
                <w:sz w:val="20"/>
                <w:szCs w:val="20"/>
                <w:lang w:eastAsia="cs-CZ"/>
              </w:rPr>
              <w:br/>
              <w:t>T – textilní materiál</w:t>
            </w:r>
            <w:r w:rsidRPr="00DB6C81">
              <w:rPr>
                <w:rFonts w:ascii="Arial" w:eastAsia="Times New Roman" w:hAnsi="Arial" w:cs="Times New Roman"/>
                <w:sz w:val="20"/>
                <w:szCs w:val="20"/>
                <w:lang w:eastAsia="cs-CZ"/>
              </w:rPr>
              <w:br/>
              <w:t>V – všeobecný materiál</w:t>
            </w:r>
            <w:r w:rsidRPr="00DB6C81">
              <w:rPr>
                <w:rFonts w:ascii="Arial" w:eastAsia="Times New Roman" w:hAnsi="Arial" w:cs="Times New Roman"/>
                <w:sz w:val="20"/>
                <w:szCs w:val="20"/>
                <w:lang w:eastAsia="cs-CZ"/>
              </w:rPr>
              <w:br/>
              <w:t>Z – zdravotnický materiál</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br/>
            </w:r>
            <w:r w:rsidRPr="00DB6C81">
              <w:rPr>
                <w:rFonts w:ascii="Arial" w:eastAsia="Times New Roman" w:hAnsi="Arial" w:cs="Times New Roman"/>
                <w:b/>
                <w:sz w:val="20"/>
                <w:szCs w:val="20"/>
                <w:lang w:eastAsia="cs-CZ"/>
              </w:rPr>
              <w:br/>
              <w:t>Návrh způsobu číslování Věcné skupiny zboží:</w:t>
            </w:r>
          </w:p>
        </w:tc>
        <w:tc>
          <w:tcPr>
            <w:tcW w:w="160" w:type="dxa"/>
            <w:tcBorders>
              <w:top w:val="nil"/>
              <w:left w:val="nil"/>
              <w:bottom w:val="nil"/>
              <w:right w:val="nil"/>
            </w:tcBorders>
            <w:shd w:val="clear" w:color="auto" w:fill="auto"/>
            <w:noWrap/>
            <w:vAlign w:val="bottom"/>
          </w:tcPr>
          <w:p w:rsidR="00DB6C81" w:rsidRPr="00DB6C81" w:rsidRDefault="00DB6C81" w:rsidP="00DB6C81">
            <w:pPr>
              <w:spacing w:after="0" w:line="264" w:lineRule="auto"/>
              <w:rPr>
                <w:rFonts w:ascii="Calibri" w:eastAsia="Times New Roman" w:hAnsi="Calibri" w:cs="Calibri"/>
                <w:color w:val="000000"/>
                <w:sz w:val="20"/>
                <w:szCs w:val="20"/>
                <w:lang w:eastAsia="cs-CZ"/>
              </w:rPr>
            </w:pPr>
          </w:p>
        </w:tc>
      </w:tr>
    </w:tbl>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sz w:val="20"/>
          <w:szCs w:val="20"/>
          <w:lang w:eastAsia="cs-CZ"/>
        </w:rPr>
        <w:t>Z – Zdravotní materiál</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ZDEF_DEFIBR – Defibrilátory</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ZDIA_DIAG - Diagnostický materiál</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ZIMP_IMPLAN – Implantáty</w:t>
      </w:r>
    </w:p>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sz w:val="20"/>
          <w:szCs w:val="20"/>
          <w:lang w:eastAsia="cs-CZ"/>
        </w:rPr>
        <w:t>V – Všeobecný materiál</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V30 – Nábytek</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V33 - Kuchyňská technika</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V41 - Čisticí prostředky</w:t>
      </w:r>
    </w:p>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sz w:val="20"/>
          <w:szCs w:val="20"/>
          <w:lang w:eastAsia="cs-CZ"/>
        </w:rPr>
        <w:t>I – Informatika</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 xml:space="preserve">I_CART – </w:t>
      </w:r>
      <w:proofErr w:type="spellStart"/>
      <w:r w:rsidRPr="00DB6C81">
        <w:rPr>
          <w:rFonts w:ascii="Arial" w:eastAsia="Times New Roman" w:hAnsi="Arial" w:cs="Times New Roman"/>
          <w:sz w:val="20"/>
          <w:szCs w:val="20"/>
          <w:lang w:eastAsia="cs-CZ"/>
        </w:rPr>
        <w:t>Cartridge</w:t>
      </w:r>
      <w:proofErr w:type="spellEnd"/>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I_KLAV - Klávesnice, myši, podložky</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I_MON – Monitory</w:t>
      </w:r>
    </w:p>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sz w:val="20"/>
          <w:szCs w:val="20"/>
          <w:lang w:eastAsia="cs-CZ"/>
        </w:rPr>
        <w:t>T – Textil</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T10 - Prádlo pro zaměstnance</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T12 - Prádlo pacientů</w:t>
      </w:r>
      <w:r w:rsidRPr="00DB6C81">
        <w:rPr>
          <w:rFonts w:ascii="Arial" w:eastAsia="Times New Roman" w:hAnsi="Arial" w:cs="Times New Roman"/>
          <w:sz w:val="20"/>
          <w:szCs w:val="20"/>
          <w:lang w:eastAsia="cs-CZ"/>
        </w:rPr>
        <w:br/>
      </w:r>
      <w:r w:rsidRPr="00DB6C81">
        <w:rPr>
          <w:rFonts w:ascii="Arial" w:eastAsia="Times New Roman" w:hAnsi="Arial" w:cs="Times New Roman"/>
          <w:sz w:val="20"/>
          <w:szCs w:val="20"/>
          <w:lang w:eastAsia="cs-CZ"/>
        </w:rPr>
        <w:tab/>
        <w:t>T16 - Ložní prádlo pro pacienty</w:t>
      </w:r>
    </w:p>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sz w:val="20"/>
          <w:szCs w:val="20"/>
          <w:lang w:eastAsia="cs-CZ"/>
        </w:rPr>
        <w:br/>
      </w:r>
    </w:p>
    <w:p w:rsidR="00DB6C81" w:rsidRPr="00DB6C81" w:rsidRDefault="00DB6C81" w:rsidP="00DB6C81">
      <w:pPr>
        <w:spacing w:after="120" w:line="264" w:lineRule="auto"/>
        <w:rPr>
          <w:rFonts w:ascii="Arial" w:eastAsia="Times New Roman" w:hAnsi="Arial" w:cs="Times New Roman"/>
          <w:sz w:val="20"/>
          <w:szCs w:val="20"/>
          <w:lang w:eastAsia="cs-CZ"/>
        </w:rPr>
      </w:pPr>
    </w:p>
    <w:p w:rsidR="00DB6C81" w:rsidRPr="00DB6C81" w:rsidRDefault="00DB6C81" w:rsidP="00DB6C81">
      <w:pPr>
        <w:spacing w:after="120" w:line="264" w:lineRule="auto"/>
        <w:rPr>
          <w:rFonts w:ascii="Arial" w:eastAsia="Times New Roman" w:hAnsi="Arial" w:cs="Times New Roman"/>
          <w:sz w:val="20"/>
          <w:szCs w:val="20"/>
          <w:lang w:eastAsia="cs-CZ"/>
        </w:rPr>
      </w:pPr>
    </w:p>
    <w:p w:rsidR="00DB6C81" w:rsidRPr="00DB6C81" w:rsidRDefault="00DB6C81" w:rsidP="00DB6C81">
      <w:pPr>
        <w:spacing w:after="120" w:line="264" w:lineRule="auto"/>
        <w:rPr>
          <w:rFonts w:ascii="Arial" w:eastAsia="Times New Roman" w:hAnsi="Arial" w:cs="Times New Roman"/>
          <w:b/>
          <w:sz w:val="20"/>
          <w:szCs w:val="20"/>
          <w:lang w:eastAsia="cs-CZ"/>
        </w:rPr>
      </w:pPr>
      <w:r w:rsidRPr="00DB6C81">
        <w:rPr>
          <w:rFonts w:ascii="Arial" w:eastAsia="Times New Roman" w:hAnsi="Arial" w:cs="Times New Roman"/>
          <w:b/>
          <w:sz w:val="20"/>
          <w:szCs w:val="20"/>
          <w:lang w:eastAsia="cs-CZ"/>
        </w:rPr>
        <w:t>Příklad značení v číselníku Účetní skupiny zboží:</w:t>
      </w:r>
    </w:p>
    <w:p w:rsidR="00DB6C81" w:rsidRPr="00DB6C81" w:rsidRDefault="00DB6C81" w:rsidP="00DB6C81">
      <w:pPr>
        <w:spacing w:after="120" w:line="264" w:lineRule="auto"/>
        <w:rPr>
          <w:rFonts w:ascii="Arial" w:eastAsia="Times New Roman" w:hAnsi="Arial" w:cs="Times New Roman"/>
          <w:sz w:val="20"/>
          <w:szCs w:val="20"/>
          <w:lang w:eastAsia="cs-CZ"/>
        </w:rPr>
      </w:pPr>
      <w:r w:rsidRPr="00DB6C81">
        <w:rPr>
          <w:rFonts w:ascii="Arial" w:eastAsia="Times New Roman" w:hAnsi="Arial" w:cs="Times New Roman"/>
          <w:sz w:val="20"/>
          <w:szCs w:val="20"/>
          <w:lang w:eastAsia="cs-CZ"/>
        </w:rPr>
        <w:t xml:space="preserve">Z 501_DIAG </w:t>
      </w:r>
      <w:r w:rsidRPr="00DB6C81">
        <w:rPr>
          <w:rFonts w:ascii="Arial" w:eastAsia="Times New Roman" w:hAnsi="Arial" w:cs="Times New Roman"/>
          <w:sz w:val="20"/>
          <w:szCs w:val="20"/>
          <w:lang w:eastAsia="cs-CZ"/>
        </w:rPr>
        <w:tab/>
      </w:r>
      <w:r w:rsidRPr="00DB6C81">
        <w:rPr>
          <w:rFonts w:ascii="Arial" w:eastAsia="Times New Roman" w:hAnsi="Arial" w:cs="Times New Roman"/>
          <w:sz w:val="20"/>
          <w:szCs w:val="20"/>
          <w:lang w:eastAsia="cs-CZ"/>
        </w:rPr>
        <w:tab/>
        <w:t xml:space="preserve">- 501 SZM diagnostika </w:t>
      </w:r>
      <w:r w:rsidRPr="00DB6C81">
        <w:rPr>
          <w:rFonts w:ascii="Arial" w:eastAsia="Times New Roman" w:hAnsi="Arial" w:cs="Times New Roman"/>
          <w:sz w:val="20"/>
          <w:szCs w:val="20"/>
          <w:lang w:eastAsia="cs-CZ"/>
        </w:rPr>
        <w:tab/>
      </w:r>
      <w:r w:rsidRPr="00DB6C81">
        <w:rPr>
          <w:rFonts w:ascii="Arial" w:eastAsia="Times New Roman" w:hAnsi="Arial" w:cs="Times New Roman"/>
          <w:sz w:val="20"/>
          <w:szCs w:val="20"/>
          <w:lang w:eastAsia="cs-CZ"/>
        </w:rPr>
        <w:tab/>
        <w:t>(112 02 021)</w:t>
      </w:r>
      <w:r w:rsidRPr="00DB6C81">
        <w:rPr>
          <w:rFonts w:ascii="Arial" w:eastAsia="Times New Roman" w:hAnsi="Arial" w:cs="Times New Roman"/>
          <w:sz w:val="20"/>
          <w:szCs w:val="20"/>
          <w:lang w:eastAsia="cs-CZ"/>
        </w:rPr>
        <w:br/>
        <w:t xml:space="preserve">Z 507_IMLAN </w:t>
      </w:r>
      <w:r w:rsidRPr="00DB6C81">
        <w:rPr>
          <w:rFonts w:ascii="Arial" w:eastAsia="Times New Roman" w:hAnsi="Arial" w:cs="Times New Roman"/>
          <w:sz w:val="20"/>
          <w:szCs w:val="20"/>
          <w:lang w:eastAsia="cs-CZ"/>
        </w:rPr>
        <w:tab/>
      </w:r>
      <w:r w:rsidRPr="00DB6C81">
        <w:rPr>
          <w:rFonts w:ascii="Arial" w:eastAsia="Times New Roman" w:hAnsi="Arial" w:cs="Times New Roman"/>
          <w:sz w:val="20"/>
          <w:szCs w:val="20"/>
          <w:lang w:eastAsia="cs-CZ"/>
        </w:rPr>
        <w:tab/>
        <w:t xml:space="preserve">- 507 SZM biolog. </w:t>
      </w:r>
      <w:proofErr w:type="gramStart"/>
      <w:r w:rsidRPr="00DB6C81">
        <w:rPr>
          <w:rFonts w:ascii="Arial" w:eastAsia="Times New Roman" w:hAnsi="Arial" w:cs="Times New Roman"/>
          <w:sz w:val="20"/>
          <w:szCs w:val="20"/>
          <w:lang w:eastAsia="cs-CZ"/>
        </w:rPr>
        <w:t>implantáty</w:t>
      </w:r>
      <w:proofErr w:type="gramEnd"/>
      <w:r w:rsidRPr="00DB6C81">
        <w:rPr>
          <w:rFonts w:ascii="Arial" w:eastAsia="Times New Roman" w:hAnsi="Arial" w:cs="Times New Roman"/>
          <w:sz w:val="20"/>
          <w:szCs w:val="20"/>
          <w:lang w:eastAsia="cs-CZ"/>
        </w:rPr>
        <w:t xml:space="preserve"> </w:t>
      </w:r>
      <w:r w:rsidRPr="00DB6C81">
        <w:rPr>
          <w:rFonts w:ascii="Arial" w:eastAsia="Times New Roman" w:hAnsi="Arial" w:cs="Times New Roman"/>
          <w:sz w:val="20"/>
          <w:szCs w:val="20"/>
          <w:lang w:eastAsia="cs-CZ"/>
        </w:rPr>
        <w:tab/>
        <w:t>(112 02 035)</w:t>
      </w:r>
      <w:r w:rsidRPr="00DB6C81">
        <w:rPr>
          <w:rFonts w:ascii="Arial" w:eastAsia="Times New Roman" w:hAnsi="Arial" w:cs="Times New Roman"/>
          <w:sz w:val="20"/>
          <w:szCs w:val="20"/>
          <w:lang w:eastAsia="cs-CZ"/>
        </w:rPr>
        <w:br/>
        <w:t xml:space="preserve">V 30_NAB </w:t>
      </w:r>
      <w:r w:rsidRPr="00DB6C81">
        <w:rPr>
          <w:rFonts w:ascii="Arial" w:eastAsia="Times New Roman" w:hAnsi="Arial" w:cs="Times New Roman"/>
          <w:sz w:val="20"/>
          <w:szCs w:val="20"/>
          <w:lang w:eastAsia="cs-CZ"/>
        </w:rPr>
        <w:tab/>
      </w:r>
      <w:r w:rsidRPr="00DB6C81">
        <w:rPr>
          <w:rFonts w:ascii="Arial" w:eastAsia="Times New Roman" w:hAnsi="Arial" w:cs="Times New Roman"/>
          <w:sz w:val="20"/>
          <w:szCs w:val="20"/>
          <w:lang w:eastAsia="cs-CZ"/>
        </w:rPr>
        <w:tab/>
        <w:t xml:space="preserve">- 30 VS nábytek </w:t>
      </w:r>
      <w:r w:rsidRPr="00DB6C81">
        <w:rPr>
          <w:rFonts w:ascii="Arial" w:eastAsia="Times New Roman" w:hAnsi="Arial" w:cs="Times New Roman"/>
          <w:sz w:val="20"/>
          <w:szCs w:val="20"/>
          <w:lang w:eastAsia="cs-CZ"/>
        </w:rPr>
        <w:tab/>
      </w:r>
      <w:r w:rsidRPr="00DB6C81">
        <w:rPr>
          <w:rFonts w:ascii="Arial" w:eastAsia="Times New Roman" w:hAnsi="Arial" w:cs="Times New Roman"/>
          <w:sz w:val="20"/>
          <w:szCs w:val="20"/>
          <w:lang w:eastAsia="cs-CZ"/>
        </w:rPr>
        <w:tab/>
        <w:t>(112 14 000)</w:t>
      </w:r>
      <w:r w:rsidRPr="00DB6C81">
        <w:rPr>
          <w:rFonts w:ascii="Arial" w:eastAsia="Times New Roman" w:hAnsi="Arial" w:cs="Times New Roman"/>
          <w:sz w:val="20"/>
          <w:szCs w:val="20"/>
          <w:lang w:eastAsia="cs-CZ"/>
        </w:rPr>
        <w:br/>
        <w:t xml:space="preserve">I 48_IT SPOTR MAT </w:t>
      </w:r>
      <w:r w:rsidRPr="00DB6C81">
        <w:rPr>
          <w:rFonts w:ascii="Arial" w:eastAsia="Times New Roman" w:hAnsi="Arial" w:cs="Times New Roman"/>
          <w:sz w:val="20"/>
          <w:szCs w:val="20"/>
          <w:lang w:eastAsia="cs-CZ"/>
        </w:rPr>
        <w:tab/>
        <w:t xml:space="preserve">- 48 IT spotřební materiál </w:t>
      </w:r>
      <w:r w:rsidRPr="00DB6C81">
        <w:rPr>
          <w:rFonts w:ascii="Arial" w:eastAsia="Times New Roman" w:hAnsi="Arial" w:cs="Times New Roman"/>
          <w:sz w:val="20"/>
          <w:szCs w:val="20"/>
          <w:lang w:eastAsia="cs-CZ"/>
        </w:rPr>
        <w:tab/>
        <w:t>(112 06 060)</w:t>
      </w:r>
      <w:r w:rsidRPr="00DB6C81">
        <w:rPr>
          <w:rFonts w:ascii="Arial" w:eastAsia="Times New Roman" w:hAnsi="Arial" w:cs="Times New Roman"/>
          <w:sz w:val="20"/>
          <w:szCs w:val="20"/>
          <w:lang w:eastAsia="cs-CZ"/>
        </w:rPr>
        <w:br/>
        <w:t xml:space="preserve">T 12_PRAD PAC </w:t>
      </w:r>
      <w:r w:rsidRPr="00DB6C81">
        <w:rPr>
          <w:rFonts w:ascii="Arial" w:eastAsia="Times New Roman" w:hAnsi="Arial" w:cs="Times New Roman"/>
          <w:sz w:val="20"/>
          <w:szCs w:val="20"/>
          <w:lang w:eastAsia="cs-CZ"/>
        </w:rPr>
        <w:tab/>
        <w:t xml:space="preserve">- 12 TEX prádlo pacientů </w:t>
      </w:r>
      <w:r w:rsidRPr="00DB6C81">
        <w:rPr>
          <w:rFonts w:ascii="Arial" w:eastAsia="Times New Roman" w:hAnsi="Arial" w:cs="Times New Roman"/>
          <w:sz w:val="20"/>
          <w:szCs w:val="20"/>
          <w:lang w:eastAsia="cs-CZ"/>
        </w:rPr>
        <w:tab/>
        <w:t>(112 05 020)</w:t>
      </w:r>
    </w:p>
    <w:p w:rsidR="00DB6C81" w:rsidRPr="00DB6C81" w:rsidRDefault="00DB6C81" w:rsidP="00DB6C81">
      <w:pPr>
        <w:spacing w:after="120" w:line="264" w:lineRule="auto"/>
        <w:rPr>
          <w:rFonts w:ascii="Arial" w:eastAsia="Times New Roman" w:hAnsi="Arial" w:cs="Times New Roman"/>
          <w:sz w:val="20"/>
          <w:szCs w:val="20"/>
          <w:lang w:eastAsia="cs-CZ"/>
        </w:rPr>
      </w:pPr>
    </w:p>
    <w:p w:rsidR="00DB6C81" w:rsidRDefault="00DB6C81"/>
    <w:sectPr w:rsidR="00DB6C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C81"/>
    <w:rsid w:val="007115FD"/>
    <w:rsid w:val="00DB6C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E15FB"/>
  <w15:chartTrackingRefBased/>
  <w15:docId w15:val="{16DAB576-3425-4700-8920-3E1DCEE40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emf"/><Relationship Id="rId9" Type="http://schemas.openxmlformats.org/officeDocument/2006/relationships/oleObject" Target="embeddings/oleObject3.bin"/></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977</Words>
  <Characters>5768</Characters>
  <Application>Microsoft Office Word</Application>
  <DocSecurity>0</DocSecurity>
  <Lines>48</Lines>
  <Paragraphs>13</Paragraphs>
  <ScaleCrop>false</ScaleCrop>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Páleník Robert</dc:creator>
  <cp:keywords/>
  <dc:description/>
  <cp:lastModifiedBy>Páleník Robert</cp:lastModifiedBy>
  <cp:revision>1</cp:revision>
  <dcterms:created xsi:type="dcterms:W3CDTF">2023-09-27T10:43:00Z</dcterms:created>
  <dcterms:modified xsi:type="dcterms:W3CDTF">2023-09-27T10:45:00Z</dcterms:modified>
</cp:coreProperties>
</file>