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E72616" w:rsidTr="0085017D">
        <w:trPr>
          <w:trHeight w:val="465"/>
        </w:trPr>
        <w:tc>
          <w:tcPr>
            <w:tcW w:w="9464" w:type="dxa"/>
            <w:shd w:val="clear" w:color="auto" w:fill="FDE9D9"/>
          </w:tcPr>
          <w:p w:rsidR="00627D75" w:rsidRPr="00E72616" w:rsidRDefault="00E02F34" w:rsidP="0085017D">
            <w:pPr>
              <w:pStyle w:val="Nzev"/>
              <w:spacing w:before="120" w:after="120" w:line="240" w:lineRule="auto"/>
              <w:rPr>
                <w:rFonts w:ascii="Arial" w:hAnsi="Arial" w:cs="Arial"/>
                <w:sz w:val="20"/>
                <w:szCs w:val="20"/>
              </w:rPr>
            </w:pPr>
            <w:r w:rsidRPr="00E72616">
              <w:rPr>
                <w:rFonts w:ascii="Arial" w:hAnsi="Arial" w:cs="Arial"/>
                <w:sz w:val="20"/>
                <w:szCs w:val="20"/>
                <w:lang w:val="cs-CZ"/>
              </w:rPr>
              <w:t xml:space="preserve">Další </w:t>
            </w:r>
            <w:r w:rsidRPr="00E72616">
              <w:rPr>
                <w:rFonts w:ascii="Arial" w:hAnsi="Arial" w:cs="Arial"/>
                <w:sz w:val="20"/>
                <w:szCs w:val="20"/>
              </w:rPr>
              <w:t>technické</w:t>
            </w:r>
            <w:r w:rsidR="00627D75" w:rsidRPr="00E72616">
              <w:rPr>
                <w:rFonts w:ascii="Arial" w:hAnsi="Arial" w:cs="Arial"/>
                <w:sz w:val="20"/>
                <w:szCs w:val="20"/>
              </w:rPr>
              <w:t xml:space="preserve"> podmínky </w:t>
            </w:r>
          </w:p>
        </w:tc>
      </w:tr>
    </w:tbl>
    <w:p w:rsidR="00C052D9" w:rsidRPr="00E72616" w:rsidRDefault="00C052D9" w:rsidP="00CE4F6E">
      <w:pPr>
        <w:tabs>
          <w:tab w:val="left" w:pos="1134"/>
        </w:tabs>
        <w:spacing w:before="120" w:after="0" w:line="240" w:lineRule="auto"/>
        <w:jc w:val="both"/>
        <w:rPr>
          <w:rFonts w:ascii="Arial" w:eastAsia="Times New Roman" w:hAnsi="Arial" w:cs="Arial"/>
          <w:b/>
          <w:sz w:val="20"/>
          <w:szCs w:val="20"/>
          <w:u w:val="single"/>
          <w:lang w:eastAsia="cs-CZ"/>
        </w:rPr>
      </w:pPr>
    </w:p>
    <w:p w:rsidR="00C052D9" w:rsidRPr="00E72616" w:rsidRDefault="00C052D9" w:rsidP="00C052D9">
      <w:pPr>
        <w:rPr>
          <w:rFonts w:ascii="Arial" w:eastAsia="Times New Roman" w:hAnsi="Arial" w:cs="Arial"/>
          <w:sz w:val="20"/>
          <w:szCs w:val="20"/>
          <w:lang w:eastAsia="cs-CZ"/>
        </w:rPr>
      </w:pPr>
    </w:p>
    <w:p w:rsidR="00E72616" w:rsidRPr="00E72616" w:rsidRDefault="00E72616" w:rsidP="00E72616">
      <w:pPr>
        <w:keepNext/>
        <w:tabs>
          <w:tab w:val="left" w:pos="993"/>
        </w:tabs>
        <w:spacing w:after="120" w:line="240" w:lineRule="auto"/>
        <w:rPr>
          <w:rFonts w:ascii="Arial" w:eastAsia="Times New Roman" w:hAnsi="Arial" w:cs="Arial"/>
          <w:b/>
          <w:sz w:val="20"/>
          <w:szCs w:val="20"/>
          <w:u w:val="single"/>
          <w:lang w:eastAsia="cs-CZ"/>
        </w:rPr>
      </w:pPr>
      <w:r w:rsidRPr="00E72616">
        <w:rPr>
          <w:rFonts w:ascii="Arial" w:eastAsia="Times New Roman" w:hAnsi="Arial" w:cs="Arial"/>
          <w:b/>
          <w:sz w:val="20"/>
          <w:szCs w:val="20"/>
          <w:u w:val="single"/>
          <w:lang w:eastAsia="cs-CZ"/>
        </w:rPr>
        <w:t xml:space="preserve">III/34428 Chuchel – propustek ev.č. 34428-15P  </w:t>
      </w:r>
    </w:p>
    <w:p w:rsidR="00E72616" w:rsidRPr="00E72616" w:rsidRDefault="00E72616" w:rsidP="00E72616">
      <w:pPr>
        <w:pStyle w:val="Zkladntext20"/>
        <w:shd w:val="clear" w:color="auto" w:fill="auto"/>
        <w:spacing w:after="0" w:line="276" w:lineRule="auto"/>
        <w:rPr>
          <w:sz w:val="20"/>
          <w:szCs w:val="20"/>
        </w:rPr>
      </w:pPr>
      <w:r w:rsidRPr="00E72616">
        <w:rPr>
          <w:sz w:val="20"/>
          <w:szCs w:val="20"/>
        </w:rPr>
        <w:t>Navrhovaná akce řeší problematiku špatného technického stavu propustku ev.č. 34428-15P v obci Chuchel, okres Havlíčkův Brod, Kraj Vysočina. Propustek se nachází v intravilánu obce Chuchel. V km 6,354 propustek převádí silnici Jeřišno – Rostejn přes bezejmenný tok.</w:t>
      </w:r>
    </w:p>
    <w:p w:rsidR="00E72616" w:rsidRPr="00E72616" w:rsidRDefault="00E72616" w:rsidP="00E72616">
      <w:pPr>
        <w:pStyle w:val="Zkladntext20"/>
        <w:shd w:val="clear" w:color="auto" w:fill="auto"/>
        <w:spacing w:after="0" w:line="276" w:lineRule="auto"/>
        <w:rPr>
          <w:sz w:val="20"/>
          <w:szCs w:val="20"/>
        </w:rPr>
      </w:pPr>
    </w:p>
    <w:p w:rsidR="00E72616" w:rsidRPr="00E72616" w:rsidRDefault="00E72616" w:rsidP="00E72616">
      <w:pPr>
        <w:tabs>
          <w:tab w:val="left" w:pos="1134"/>
        </w:tabs>
        <w:spacing w:after="0"/>
        <w:jc w:val="both"/>
        <w:rPr>
          <w:rFonts w:ascii="Arial" w:eastAsia="Arial" w:hAnsi="Arial" w:cs="Arial"/>
          <w:sz w:val="20"/>
          <w:szCs w:val="20"/>
          <w:lang w:eastAsia="cs-CZ"/>
        </w:rPr>
      </w:pPr>
      <w:r w:rsidRPr="00E72616">
        <w:rPr>
          <w:rFonts w:ascii="Arial" w:eastAsia="Arial" w:hAnsi="Arial" w:cs="Arial"/>
          <w:sz w:val="20"/>
          <w:szCs w:val="20"/>
          <w:lang w:eastAsia="cs-CZ"/>
        </w:rPr>
        <w:t xml:space="preserve">Stávající propustek je tvořen kamennou klenbou na plošně založené kamenné spodní stavbě. Stávající světlost je 1,4 m. Šířka převáděné komunikace na objektu je ~5,25 m. V rámci zajištění bezpečnosti byla na krajnici silnice instalována mobilní betonová svodidla. PD stávajícího objektu se nedochovala. </w:t>
      </w:r>
    </w:p>
    <w:p w:rsidR="00E72616" w:rsidRPr="00E72616" w:rsidRDefault="00E72616" w:rsidP="00E72616">
      <w:pPr>
        <w:tabs>
          <w:tab w:val="left" w:pos="1134"/>
        </w:tabs>
        <w:spacing w:after="0"/>
        <w:jc w:val="both"/>
        <w:rPr>
          <w:rFonts w:ascii="Arial" w:eastAsia="Arial" w:hAnsi="Arial" w:cs="Arial"/>
          <w:sz w:val="20"/>
          <w:szCs w:val="20"/>
          <w:lang w:eastAsia="cs-CZ"/>
        </w:rPr>
      </w:pPr>
      <w:r w:rsidRPr="00E72616">
        <w:rPr>
          <w:rFonts w:ascii="Arial" w:eastAsia="Arial" w:hAnsi="Arial" w:cs="Arial"/>
          <w:sz w:val="20"/>
          <w:szCs w:val="20"/>
          <w:lang w:eastAsia="cs-CZ"/>
        </w:rPr>
        <w:t xml:space="preserve">V rámci opravy bude stávající nosná konstrukce propustku odstraněna, opěry ponechány. Do otvoru bude vložena kapacitní korugovaná trouba DN 1000. </w:t>
      </w:r>
    </w:p>
    <w:p w:rsidR="00E72616" w:rsidRPr="00E72616" w:rsidRDefault="00E72616" w:rsidP="00E72616">
      <w:pPr>
        <w:tabs>
          <w:tab w:val="left" w:pos="1134"/>
        </w:tabs>
        <w:spacing w:after="0"/>
        <w:jc w:val="both"/>
        <w:rPr>
          <w:rFonts w:ascii="Arial" w:eastAsia="Arial" w:hAnsi="Arial" w:cs="Arial"/>
          <w:sz w:val="20"/>
          <w:szCs w:val="20"/>
          <w:lang w:eastAsia="cs-CZ"/>
        </w:rPr>
      </w:pPr>
      <w:r w:rsidRPr="00E72616">
        <w:rPr>
          <w:rFonts w:ascii="Arial" w:eastAsia="Arial" w:hAnsi="Arial" w:cs="Arial"/>
          <w:sz w:val="20"/>
          <w:szCs w:val="20"/>
          <w:lang w:eastAsia="cs-CZ"/>
        </w:rPr>
        <w:t>Na vtoku propustku se nachází bývalý rybník a bývalé železobetonové výpustní zařízení rybníka. Stávající svah silničního tělesa je ze strany rybníka obložen železobetonovými panely. V rámci opravy budou panely odstraněny. Z prostoru paty svahu bude odstraněn bahenný nános a v tomto místě bude nově dosypán a zhutněn svah násypového tělesa komunikace. Z důvodu místního rozšíření budou nově provedeny konstrukční vrstvy komunikace v celé délce zásahu.</w:t>
      </w:r>
    </w:p>
    <w:p w:rsidR="00E72616" w:rsidRPr="00E72616" w:rsidRDefault="00E72616" w:rsidP="00E72616">
      <w:pPr>
        <w:tabs>
          <w:tab w:val="left" w:pos="1134"/>
        </w:tabs>
        <w:spacing w:after="0"/>
        <w:jc w:val="both"/>
        <w:rPr>
          <w:rFonts w:ascii="Arial" w:eastAsia="Arial" w:hAnsi="Arial" w:cs="Arial"/>
          <w:sz w:val="20"/>
          <w:szCs w:val="20"/>
          <w:lang w:eastAsia="cs-CZ"/>
        </w:rPr>
      </w:pPr>
      <w:r w:rsidRPr="00E72616">
        <w:rPr>
          <w:rFonts w:ascii="Arial" w:eastAsia="Arial" w:hAnsi="Arial" w:cs="Arial"/>
          <w:sz w:val="20"/>
          <w:szCs w:val="20"/>
          <w:lang w:eastAsia="cs-CZ"/>
        </w:rPr>
        <w:t>V místě výtoku se nacházejí inženýrské sítě – vedení CETIN, ČEZ Distribuce, VO, datové sítě Obce, vyústění dešťové kanalizace. V letošním roce byl v tomto místě proveden řízený protlak a kabelové sítě jsou nově uloženy v chráničce pod dnem koryta potoka a pod dnem nově navrženého propustku. Inženýrské sítě je nutno před zahájením stavby vytyčit.</w:t>
      </w:r>
    </w:p>
    <w:p w:rsidR="00E72616" w:rsidRPr="00E72616" w:rsidRDefault="00E72616" w:rsidP="00E72616">
      <w:pPr>
        <w:tabs>
          <w:tab w:val="left" w:pos="1134"/>
        </w:tabs>
        <w:spacing w:after="0"/>
        <w:jc w:val="both"/>
        <w:rPr>
          <w:rFonts w:ascii="Arial" w:eastAsia="Times New Roman" w:hAnsi="Arial" w:cs="Arial"/>
          <w:sz w:val="20"/>
          <w:szCs w:val="20"/>
        </w:rPr>
      </w:pPr>
    </w:p>
    <w:p w:rsidR="00E72616" w:rsidRPr="00E72616" w:rsidRDefault="00E72616" w:rsidP="00E72616">
      <w:pPr>
        <w:tabs>
          <w:tab w:val="left" w:pos="1134"/>
        </w:tabs>
        <w:spacing w:after="0" w:line="240" w:lineRule="auto"/>
        <w:jc w:val="both"/>
        <w:rPr>
          <w:rFonts w:ascii="Arial" w:eastAsia="Times New Roman" w:hAnsi="Arial" w:cs="Arial"/>
          <w:sz w:val="20"/>
          <w:szCs w:val="20"/>
          <w:lang w:eastAsia="cs-CZ"/>
        </w:rPr>
      </w:pPr>
    </w:p>
    <w:p w:rsidR="00E72616" w:rsidRPr="00E72616" w:rsidRDefault="00E72616" w:rsidP="00E72616">
      <w:pPr>
        <w:pStyle w:val="Nadpis10"/>
        <w:keepNext/>
        <w:keepLines/>
        <w:shd w:val="clear" w:color="auto" w:fill="auto"/>
        <w:spacing w:before="0" w:after="60"/>
        <w:rPr>
          <w:sz w:val="20"/>
          <w:szCs w:val="20"/>
          <w:u w:val="single"/>
        </w:rPr>
      </w:pPr>
      <w:bookmarkStart w:id="0" w:name="bookmark1"/>
      <w:r w:rsidRPr="00E72616">
        <w:rPr>
          <w:sz w:val="20"/>
          <w:szCs w:val="20"/>
          <w:u w:val="single"/>
        </w:rPr>
        <w:t>Členění stavby</w:t>
      </w:r>
      <w:bookmarkEnd w:id="0"/>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SO 000 Vedlejší a ostatní náklady</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SO 001 Bourání stávajících konstrukcí</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SO 201 Propustek ev.č. 34428-15P</w:t>
      </w:r>
    </w:p>
    <w:p w:rsidR="00E72616" w:rsidRPr="00E72616" w:rsidRDefault="00E72616" w:rsidP="00E72616">
      <w:pPr>
        <w:pStyle w:val="Zkladntext20"/>
        <w:shd w:val="clear" w:color="auto" w:fill="auto"/>
        <w:spacing w:after="0" w:line="276" w:lineRule="auto"/>
        <w:ind w:right="-64"/>
        <w:rPr>
          <w:sz w:val="20"/>
          <w:szCs w:val="20"/>
          <w:u w:val="single"/>
        </w:rPr>
      </w:pPr>
    </w:p>
    <w:p w:rsidR="00E72616" w:rsidRPr="00E72616" w:rsidRDefault="00E72616" w:rsidP="00E72616">
      <w:pPr>
        <w:pStyle w:val="Odstavecseseznamem"/>
        <w:spacing w:after="0"/>
        <w:ind w:left="0"/>
        <w:jc w:val="both"/>
        <w:rPr>
          <w:rFonts w:ascii="Arial" w:hAnsi="Arial" w:cs="Arial"/>
          <w:b/>
          <w:bCs/>
          <w:sz w:val="20"/>
          <w:szCs w:val="20"/>
          <w:u w:val="single"/>
        </w:rPr>
      </w:pPr>
      <w:r w:rsidRPr="00E72616">
        <w:rPr>
          <w:rFonts w:ascii="Arial" w:hAnsi="Arial" w:cs="Arial"/>
          <w:b/>
          <w:bCs/>
          <w:sz w:val="20"/>
          <w:szCs w:val="20"/>
          <w:u w:val="single"/>
        </w:rPr>
        <w:t xml:space="preserve">SO 000 Vedlejší a ostatní náklady  </w:t>
      </w:r>
    </w:p>
    <w:p w:rsidR="00E72616" w:rsidRPr="00E72616" w:rsidRDefault="00E72616" w:rsidP="00E72616">
      <w:pPr>
        <w:pStyle w:val="Odstavecseseznamem"/>
        <w:spacing w:after="0"/>
        <w:ind w:left="0"/>
        <w:jc w:val="both"/>
        <w:rPr>
          <w:rFonts w:ascii="Arial" w:eastAsia="Arial" w:hAnsi="Arial" w:cs="Arial"/>
          <w:sz w:val="20"/>
          <w:szCs w:val="20"/>
          <w:lang w:eastAsia="cs-CZ"/>
        </w:rPr>
      </w:pPr>
      <w:r w:rsidRPr="00E72616">
        <w:rPr>
          <w:rFonts w:ascii="Arial" w:eastAsia="Arial" w:hAnsi="Arial" w:cs="Arial"/>
          <w:sz w:val="20"/>
          <w:szCs w:val="20"/>
          <w:lang w:eastAsia="cs-CZ"/>
        </w:rPr>
        <w:t>Součástí tohoto objektu jsou mimo jiné i tyto následující práce: geodetická měření, zařízení staveniště, vypracování povodňového a havarijního plánu, zajištění BOZP na stavbě, vytyčení a ochrana inženýrských sítí, dokumentace DSPS, evidenční list propustku, 1. Hlavní prohlídka propustku, práce geotechnika, zkoušení konstrukcí a prací, zajištění DIO, geometrický plán.</w:t>
      </w:r>
    </w:p>
    <w:p w:rsidR="00E72616" w:rsidRPr="00E72616" w:rsidRDefault="00E72616" w:rsidP="00E72616">
      <w:pPr>
        <w:pStyle w:val="Odstavecseseznamem"/>
        <w:spacing w:after="0"/>
        <w:ind w:left="0"/>
        <w:jc w:val="both"/>
        <w:rPr>
          <w:rFonts w:ascii="Arial" w:eastAsia="Arial" w:hAnsi="Arial" w:cs="Arial"/>
          <w:sz w:val="20"/>
          <w:szCs w:val="20"/>
          <w:lang w:eastAsia="cs-CZ"/>
        </w:rPr>
      </w:pPr>
      <w:r w:rsidRPr="00E72616">
        <w:rPr>
          <w:rFonts w:ascii="Arial" w:eastAsia="Arial" w:hAnsi="Arial" w:cs="Arial"/>
          <w:sz w:val="20"/>
          <w:szCs w:val="20"/>
          <w:lang w:eastAsia="cs-CZ"/>
        </w:rPr>
        <w:t>Vyhotovení geodetické části dokumentace skutečného provedení stavby bude obsahovat geometrické, polohové a výškové určení dokončené stavby, bude vyhotoveno v souladu s § 5 a ve struktuře dle příloh č. 3 a 4 vyhlášky č. 393/2020 Sb., o digitální technické mapě (vyhláška DTM), v platném znění, v aktuálně platné verzi výměnného formátu dle § 6 vyhlášky DTM.</w:t>
      </w:r>
    </w:p>
    <w:p w:rsidR="00E72616" w:rsidRPr="00E72616" w:rsidRDefault="00E72616" w:rsidP="00E72616">
      <w:pPr>
        <w:spacing w:after="0"/>
        <w:jc w:val="both"/>
        <w:rPr>
          <w:rFonts w:ascii="Arial" w:eastAsia="Arial" w:hAnsi="Arial" w:cs="Arial"/>
          <w:sz w:val="20"/>
          <w:szCs w:val="20"/>
          <w:lang w:eastAsia="cs-CZ"/>
        </w:rPr>
      </w:pPr>
      <w:r w:rsidRPr="00E72616">
        <w:rPr>
          <w:rFonts w:ascii="Arial" w:eastAsia="Arial" w:hAnsi="Arial" w:cs="Arial"/>
          <w:sz w:val="20"/>
          <w:szCs w:val="20"/>
          <w:u w:val="single"/>
          <w:lang w:eastAsia="cs-CZ"/>
        </w:rPr>
        <w:t>Zajištění DIO.</w:t>
      </w:r>
      <w:r w:rsidRPr="00E72616">
        <w:rPr>
          <w:rFonts w:ascii="Arial" w:eastAsia="Arial" w:hAnsi="Arial" w:cs="Arial"/>
          <w:sz w:val="20"/>
          <w:szCs w:val="20"/>
          <w:lang w:eastAsia="cs-CZ"/>
        </w:rPr>
        <w:t xml:space="preserve"> Stavba bude prováděná za úplné uzavírky. Maximální délka úplné uzavírky bude 3 týdny.  Dopravně inženýrská opatření, práce pro zajištění objízdné trasy, uzavírku, vyznačení případné objízdné trasy včetně zřízení a odstranění přechodného dopravního značení zajistí zhotovitel. </w:t>
      </w:r>
    </w:p>
    <w:p w:rsidR="00E72616" w:rsidRPr="00E72616" w:rsidRDefault="00E72616" w:rsidP="00E72616">
      <w:pPr>
        <w:pStyle w:val="Zkladntext20"/>
        <w:shd w:val="clear" w:color="auto" w:fill="auto"/>
        <w:spacing w:after="0" w:line="276" w:lineRule="auto"/>
        <w:ind w:right="-64"/>
        <w:rPr>
          <w:sz w:val="20"/>
          <w:szCs w:val="20"/>
          <w:u w:val="single"/>
        </w:rPr>
      </w:pPr>
      <w:r w:rsidRPr="00E72616">
        <w:rPr>
          <w:rFonts w:eastAsia="Times New Roman"/>
          <w:sz w:val="20"/>
          <w:szCs w:val="20"/>
        </w:rPr>
        <w:tab/>
      </w:r>
      <w:r w:rsidRPr="00E72616">
        <w:rPr>
          <w:rFonts w:eastAsia="Times New Roman"/>
          <w:sz w:val="20"/>
          <w:szCs w:val="20"/>
        </w:rPr>
        <w:tab/>
      </w:r>
    </w:p>
    <w:p w:rsidR="00E72616" w:rsidRPr="00E72616" w:rsidRDefault="00E72616" w:rsidP="00E72616">
      <w:pPr>
        <w:pStyle w:val="Zkladntext20"/>
        <w:shd w:val="clear" w:color="auto" w:fill="auto"/>
        <w:spacing w:after="0" w:line="276" w:lineRule="auto"/>
        <w:ind w:right="-64"/>
        <w:rPr>
          <w:b/>
          <w:bCs/>
          <w:sz w:val="20"/>
          <w:szCs w:val="20"/>
          <w:u w:val="single"/>
        </w:rPr>
      </w:pPr>
      <w:r w:rsidRPr="00E72616">
        <w:rPr>
          <w:b/>
          <w:bCs/>
          <w:sz w:val="20"/>
          <w:szCs w:val="20"/>
          <w:u w:val="single"/>
        </w:rPr>
        <w:t>SO 001 Bourání stávajících konstrukcí</w:t>
      </w:r>
    </w:p>
    <w:p w:rsidR="00E72616" w:rsidRPr="00E72616" w:rsidRDefault="00E72616" w:rsidP="00E72616">
      <w:pPr>
        <w:tabs>
          <w:tab w:val="left" w:pos="1134"/>
        </w:tabs>
        <w:spacing w:after="0"/>
        <w:jc w:val="both"/>
        <w:rPr>
          <w:rFonts w:ascii="Arial" w:eastAsia="Arial" w:hAnsi="Arial" w:cs="Arial"/>
          <w:sz w:val="20"/>
          <w:szCs w:val="20"/>
          <w:lang w:eastAsia="cs-CZ"/>
        </w:rPr>
      </w:pPr>
      <w:r w:rsidRPr="00E72616">
        <w:rPr>
          <w:rFonts w:ascii="Arial" w:eastAsia="Arial" w:hAnsi="Arial" w:cs="Arial"/>
          <w:sz w:val="20"/>
          <w:szCs w:val="20"/>
          <w:lang w:eastAsia="cs-CZ"/>
        </w:rPr>
        <w:t xml:space="preserve">Kamenná klenba bude po odkrytí rozebrána. Původní konstrukce stávající spodní stavby budou ponechány na místě samém. Do otvoru mezi stávající opěry bude vložena kapacitní korugovaná trouba DN 1000. Prostor mezi novými a původními konstrukcemi bude dokonale vyplněn hutněnou zeminou, případně výplňovým betonem.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 xml:space="preserve">Pro založení trubního propustku bude nutno odstranit stávající bahnitý nános. Nevhodná zemina bude odvezena na skládku, zemina vhodná (nenamrzavá a dobře hutnitelná) bude uložena na mezideponii a následně použita pro zpětné obsypy. O zpětném použití rozhodne osoba způsobilá v oblasti inženýrské geologie. Stávající svah komunikace je ze strany rybníka obložen železobetonovými panely. V rámci </w:t>
      </w:r>
      <w:r w:rsidRPr="00E72616">
        <w:rPr>
          <w:sz w:val="20"/>
          <w:szCs w:val="20"/>
        </w:rPr>
        <w:lastRenderedPageBreak/>
        <w:t>opravy budou panely odstraněny. Z prostoru paty svahu silničního tělesa a v délce bývalého rybníka bude odstraněn bahenný nános, který se předpokládá o mocnosti 0,5</w:t>
      </w:r>
      <w:r w:rsidRPr="00E72616">
        <w:rPr>
          <w:rFonts w:ascii="Cambria Math" w:hAnsi="Cambria Math" w:cs="Cambria Math"/>
          <w:sz w:val="20"/>
          <w:szCs w:val="20"/>
        </w:rPr>
        <w:t>‐</w:t>
      </w:r>
      <w:r w:rsidRPr="00E72616">
        <w:rPr>
          <w:sz w:val="20"/>
          <w:szCs w:val="20"/>
        </w:rPr>
        <w:t xml:space="preserve">1,0 m.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Na stávající asf. vrstvy byla provedena analýza PAU látek s výsledkem ZAS T3 a ZAS T4 – viz. příloha. Materiál bude odevzdán na příslušnou skládku.</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Na bahenný nános byla provedena analýza vzorku – viz. příloha. Materiál bude odevzdán na příslušnou skládku.</w:t>
      </w:r>
    </w:p>
    <w:p w:rsidR="00E72616" w:rsidRPr="00E72616" w:rsidRDefault="00E72616" w:rsidP="00E72616">
      <w:pPr>
        <w:pStyle w:val="Zkladntext20"/>
        <w:shd w:val="clear" w:color="auto" w:fill="auto"/>
        <w:spacing w:after="0" w:line="276" w:lineRule="auto"/>
        <w:ind w:right="-64"/>
        <w:rPr>
          <w:sz w:val="20"/>
          <w:szCs w:val="20"/>
        </w:rPr>
      </w:pPr>
    </w:p>
    <w:p w:rsidR="00E72616" w:rsidRPr="00E72616" w:rsidRDefault="00E72616" w:rsidP="00E72616">
      <w:pPr>
        <w:pStyle w:val="Zkladntext20"/>
        <w:shd w:val="clear" w:color="auto" w:fill="auto"/>
        <w:spacing w:after="0" w:line="276" w:lineRule="auto"/>
        <w:ind w:right="-64"/>
        <w:rPr>
          <w:b/>
          <w:bCs/>
          <w:sz w:val="20"/>
          <w:szCs w:val="20"/>
          <w:u w:val="single"/>
        </w:rPr>
      </w:pPr>
      <w:r w:rsidRPr="00E72616">
        <w:rPr>
          <w:b/>
          <w:bCs/>
          <w:sz w:val="20"/>
          <w:szCs w:val="20"/>
          <w:u w:val="single"/>
        </w:rPr>
        <w:t>SO 201 Propustek ev.č. 34417-2P</w:t>
      </w:r>
    </w:p>
    <w:p w:rsidR="00E72616" w:rsidRPr="00E72616" w:rsidRDefault="00E72616" w:rsidP="00E72616">
      <w:pPr>
        <w:tabs>
          <w:tab w:val="left" w:pos="1134"/>
        </w:tabs>
        <w:spacing w:after="0"/>
        <w:jc w:val="both"/>
        <w:rPr>
          <w:rFonts w:ascii="Arial" w:eastAsia="Arial" w:hAnsi="Arial" w:cs="Arial"/>
          <w:sz w:val="20"/>
          <w:szCs w:val="20"/>
          <w:lang w:eastAsia="cs-CZ"/>
        </w:rPr>
      </w:pPr>
      <w:r w:rsidRPr="00E72616">
        <w:rPr>
          <w:rFonts w:ascii="Arial" w:eastAsia="Arial" w:hAnsi="Arial" w:cs="Arial"/>
          <w:sz w:val="20"/>
          <w:szCs w:val="20"/>
          <w:lang w:eastAsia="cs-CZ"/>
        </w:rPr>
        <w:t>Mezi odkryté stávající opěry propustku bude vložena kapacitní korugovaná trouba DN1000. Prostor mezi konstrukcemi bude vyplněn a zhutněn. Čela propustku jsou šikmá. Úprava vozovky je v délce 22,5 m.</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Z prostoru paty svahu na vtoku bude odstraněn bahenný nános, které se předpokládá o mocnosti 0,5</w:t>
      </w:r>
      <w:r w:rsidRPr="00E72616">
        <w:rPr>
          <w:rFonts w:ascii="Cambria Math" w:hAnsi="Cambria Math" w:cs="Cambria Math"/>
          <w:sz w:val="20"/>
          <w:szCs w:val="20"/>
        </w:rPr>
        <w:t>‐</w:t>
      </w:r>
      <w:r w:rsidRPr="00E72616">
        <w:rPr>
          <w:sz w:val="20"/>
          <w:szCs w:val="20"/>
        </w:rPr>
        <w:t>1,0 m. Do odkrytého podloží bude zatlačeno hrubé lomové kamenivo frakce 63</w:t>
      </w:r>
      <w:r w:rsidRPr="00E72616">
        <w:rPr>
          <w:rFonts w:ascii="Cambria Math" w:hAnsi="Cambria Math" w:cs="Cambria Math"/>
          <w:sz w:val="20"/>
          <w:szCs w:val="20"/>
        </w:rPr>
        <w:t>‐</w:t>
      </w:r>
      <w:r w:rsidRPr="00E72616">
        <w:rPr>
          <w:sz w:val="20"/>
          <w:szCs w:val="20"/>
        </w:rPr>
        <w:t xml:space="preserve">250 (např. lžící bagru). Tím dojde ke zpevnění podloží. Zpevněné podloží bude překryto separační geotextilií, na kterou budou provedeny min. 2 vrstvy hutněné ŠD 0/63. Na takto upravenou plochu bude dosypán a zhutněn svah násypového tělesa komunikace. Při větším zásahu do násypového tělesa je nutno zřídit svahové stupně. O způsobu sanace a zpětném použití materiálu rozhodne osoba způsobilá v oblasti inženýrské geologie po odkrytí podloží. </w:t>
      </w:r>
    </w:p>
    <w:p w:rsidR="00E72616" w:rsidRPr="00E72616" w:rsidRDefault="00E72616" w:rsidP="00E72616">
      <w:pPr>
        <w:pStyle w:val="Zkladntext20"/>
        <w:shd w:val="clear" w:color="auto" w:fill="auto"/>
        <w:spacing w:after="0" w:line="276" w:lineRule="auto"/>
        <w:ind w:right="-64"/>
        <w:rPr>
          <w:sz w:val="20"/>
          <w:szCs w:val="20"/>
        </w:rPr>
      </w:pP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t>Vozovka bude provedena v plné skladbě v celém rozsahu úpravy komunikace, v celé šířce komunikace. Asfaltové směsi a hotové vrstvy musí splňovat vlastnosti a parametry uvedené v ČSN EN 13043. Postup prací musí být v souladu s TKP.  </w:t>
      </w:r>
    </w:p>
    <w:p w:rsidR="00E72616" w:rsidRPr="00E72616" w:rsidRDefault="00E72616" w:rsidP="00E72616">
      <w:pPr>
        <w:pStyle w:val="Zkladntext20"/>
        <w:shd w:val="clear" w:color="auto" w:fill="auto"/>
        <w:spacing w:after="0" w:line="276" w:lineRule="auto"/>
        <w:ind w:right="-64"/>
        <w:rPr>
          <w:sz w:val="20"/>
          <w:szCs w:val="20"/>
          <w:u w:val="single"/>
        </w:rPr>
      </w:pPr>
      <w:r w:rsidRPr="00E72616">
        <w:rPr>
          <w:sz w:val="20"/>
          <w:szCs w:val="20"/>
          <w:u w:val="single"/>
        </w:rPr>
        <w:t>Skladba vozovky dle TP 170, D1</w:t>
      </w:r>
      <w:r w:rsidRPr="00E72616">
        <w:rPr>
          <w:rFonts w:ascii="Cambria Math" w:hAnsi="Cambria Math" w:cs="Cambria Math"/>
          <w:sz w:val="20"/>
          <w:szCs w:val="20"/>
          <w:u w:val="single"/>
        </w:rPr>
        <w:t>‐</w:t>
      </w:r>
      <w:r w:rsidRPr="00E72616">
        <w:rPr>
          <w:sz w:val="20"/>
          <w:szCs w:val="20"/>
          <w:u w:val="single"/>
        </w:rPr>
        <w:t>N</w:t>
      </w:r>
      <w:r w:rsidRPr="00E72616">
        <w:rPr>
          <w:rFonts w:ascii="Cambria Math" w:hAnsi="Cambria Math" w:cs="Cambria Math"/>
          <w:sz w:val="20"/>
          <w:szCs w:val="20"/>
          <w:u w:val="single"/>
        </w:rPr>
        <w:t>‐</w:t>
      </w:r>
      <w:r w:rsidRPr="00E72616">
        <w:rPr>
          <w:sz w:val="20"/>
          <w:szCs w:val="20"/>
          <w:u w:val="single"/>
        </w:rPr>
        <w:t>2</w:t>
      </w:r>
      <w:r w:rsidRPr="00E72616">
        <w:rPr>
          <w:rFonts w:ascii="Cambria Math" w:hAnsi="Cambria Math" w:cs="Cambria Math"/>
          <w:sz w:val="20"/>
          <w:szCs w:val="20"/>
          <w:u w:val="single"/>
        </w:rPr>
        <w:t>‐</w:t>
      </w:r>
      <w:r w:rsidRPr="00E72616">
        <w:rPr>
          <w:sz w:val="20"/>
          <w:szCs w:val="20"/>
          <w:u w:val="single"/>
        </w:rPr>
        <w:t>TDZ IV</w:t>
      </w:r>
      <w:r w:rsidRPr="00E72616">
        <w:rPr>
          <w:rFonts w:ascii="Cambria Math" w:hAnsi="Cambria Math" w:cs="Cambria Math"/>
          <w:sz w:val="20"/>
          <w:szCs w:val="20"/>
          <w:u w:val="single"/>
        </w:rPr>
        <w:t>‐</w:t>
      </w:r>
      <w:r w:rsidRPr="00E72616">
        <w:rPr>
          <w:sz w:val="20"/>
          <w:szCs w:val="20"/>
          <w:u w:val="single"/>
        </w:rPr>
        <w:t xml:space="preserve">PIII: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asfaltový beton střednězrnný</w:t>
      </w:r>
      <w:r w:rsidRPr="00E72616">
        <w:rPr>
          <w:sz w:val="20"/>
          <w:szCs w:val="20"/>
        </w:rPr>
        <w:tab/>
      </w:r>
      <w:r w:rsidRPr="00E72616">
        <w:rPr>
          <w:sz w:val="20"/>
          <w:szCs w:val="20"/>
        </w:rPr>
        <w:tab/>
      </w:r>
      <w:r>
        <w:rPr>
          <w:sz w:val="20"/>
          <w:szCs w:val="20"/>
        </w:rPr>
        <w:tab/>
      </w:r>
      <w:r w:rsidRPr="00E72616">
        <w:rPr>
          <w:sz w:val="20"/>
          <w:szCs w:val="20"/>
        </w:rPr>
        <w:t xml:space="preserve">ACO 11+     </w:t>
      </w:r>
      <w:r w:rsidRPr="00E72616">
        <w:rPr>
          <w:sz w:val="20"/>
          <w:szCs w:val="20"/>
        </w:rPr>
        <w:tab/>
        <w:t xml:space="preserve">tl. 40 mm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spojovací postřik         </w:t>
      </w:r>
      <w:r w:rsidRPr="00E72616">
        <w:rPr>
          <w:sz w:val="20"/>
          <w:szCs w:val="20"/>
        </w:rPr>
        <w:tab/>
      </w:r>
      <w:r w:rsidRPr="00E72616">
        <w:rPr>
          <w:sz w:val="20"/>
          <w:szCs w:val="20"/>
        </w:rPr>
        <w:tab/>
      </w:r>
      <w:r w:rsidRPr="00E72616">
        <w:rPr>
          <w:sz w:val="20"/>
          <w:szCs w:val="20"/>
        </w:rPr>
        <w:tab/>
        <w:t>PS</w:t>
      </w:r>
      <w:r w:rsidRPr="00E72616">
        <w:rPr>
          <w:rFonts w:ascii="Cambria Math" w:hAnsi="Cambria Math" w:cs="Cambria Math"/>
          <w:sz w:val="20"/>
          <w:szCs w:val="20"/>
        </w:rPr>
        <w:t>‐</w:t>
      </w:r>
      <w:r w:rsidRPr="00E72616">
        <w:rPr>
          <w:sz w:val="20"/>
          <w:szCs w:val="20"/>
        </w:rPr>
        <w:t xml:space="preserve">C       </w:t>
      </w:r>
      <w:r w:rsidRPr="00E72616">
        <w:rPr>
          <w:sz w:val="20"/>
          <w:szCs w:val="20"/>
        </w:rPr>
        <w:tab/>
        <w:t xml:space="preserve">0,50 kg/m2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asfaltový beton hrubozrnný     </w:t>
      </w:r>
      <w:r w:rsidRPr="00E72616">
        <w:rPr>
          <w:sz w:val="20"/>
          <w:szCs w:val="20"/>
        </w:rPr>
        <w:tab/>
      </w:r>
      <w:r w:rsidRPr="00E72616">
        <w:rPr>
          <w:sz w:val="20"/>
          <w:szCs w:val="20"/>
        </w:rPr>
        <w:tab/>
      </w:r>
      <w:r>
        <w:rPr>
          <w:sz w:val="20"/>
          <w:szCs w:val="20"/>
        </w:rPr>
        <w:tab/>
      </w:r>
      <w:r w:rsidRPr="00E72616">
        <w:rPr>
          <w:sz w:val="20"/>
          <w:szCs w:val="20"/>
        </w:rPr>
        <w:t xml:space="preserve">ACL 16+     </w:t>
      </w:r>
      <w:r w:rsidRPr="00E72616">
        <w:rPr>
          <w:sz w:val="20"/>
          <w:szCs w:val="20"/>
        </w:rPr>
        <w:tab/>
        <w:t xml:space="preserve">tl. 60 mm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spojovací postřik         </w:t>
      </w:r>
      <w:r w:rsidRPr="00E72616">
        <w:rPr>
          <w:sz w:val="20"/>
          <w:szCs w:val="20"/>
        </w:rPr>
        <w:tab/>
      </w:r>
      <w:r w:rsidRPr="00E72616">
        <w:rPr>
          <w:sz w:val="20"/>
          <w:szCs w:val="20"/>
        </w:rPr>
        <w:tab/>
      </w:r>
      <w:r w:rsidRPr="00E72616">
        <w:rPr>
          <w:sz w:val="20"/>
          <w:szCs w:val="20"/>
        </w:rPr>
        <w:tab/>
        <w:t>PS</w:t>
      </w:r>
      <w:r w:rsidRPr="00E72616">
        <w:rPr>
          <w:rFonts w:ascii="Cambria Math" w:hAnsi="Cambria Math" w:cs="Cambria Math"/>
          <w:sz w:val="20"/>
          <w:szCs w:val="20"/>
        </w:rPr>
        <w:t>‐</w:t>
      </w:r>
      <w:r w:rsidRPr="00E72616">
        <w:rPr>
          <w:sz w:val="20"/>
          <w:szCs w:val="20"/>
        </w:rPr>
        <w:t xml:space="preserve">C       </w:t>
      </w:r>
      <w:r w:rsidRPr="00E72616">
        <w:rPr>
          <w:sz w:val="20"/>
          <w:szCs w:val="20"/>
        </w:rPr>
        <w:tab/>
        <w:t xml:space="preserve">0,50 kg/m2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obalované kamenivo střednězrnné    </w:t>
      </w:r>
      <w:r w:rsidRPr="00E72616">
        <w:rPr>
          <w:sz w:val="20"/>
          <w:szCs w:val="20"/>
        </w:rPr>
        <w:tab/>
      </w:r>
      <w:r>
        <w:rPr>
          <w:sz w:val="20"/>
          <w:szCs w:val="20"/>
        </w:rPr>
        <w:tab/>
      </w:r>
      <w:r w:rsidRPr="00E72616">
        <w:rPr>
          <w:sz w:val="20"/>
          <w:szCs w:val="20"/>
        </w:rPr>
        <w:t xml:space="preserve">ACP 16+     </w:t>
      </w:r>
      <w:r w:rsidRPr="00E72616">
        <w:rPr>
          <w:sz w:val="20"/>
          <w:szCs w:val="20"/>
        </w:rPr>
        <w:tab/>
        <w:t xml:space="preserve">tl. 50 mm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infiltrační postřik       </w:t>
      </w:r>
      <w:r w:rsidRPr="00E72616">
        <w:rPr>
          <w:sz w:val="20"/>
          <w:szCs w:val="20"/>
        </w:rPr>
        <w:tab/>
      </w:r>
      <w:r w:rsidRPr="00E72616">
        <w:rPr>
          <w:sz w:val="20"/>
          <w:szCs w:val="20"/>
        </w:rPr>
        <w:tab/>
      </w:r>
      <w:r w:rsidRPr="00E72616">
        <w:rPr>
          <w:sz w:val="20"/>
          <w:szCs w:val="20"/>
        </w:rPr>
        <w:tab/>
      </w:r>
      <w:r>
        <w:rPr>
          <w:sz w:val="20"/>
          <w:szCs w:val="20"/>
        </w:rPr>
        <w:tab/>
      </w:r>
      <w:r w:rsidRPr="00E72616">
        <w:rPr>
          <w:sz w:val="20"/>
          <w:szCs w:val="20"/>
        </w:rPr>
        <w:t>PI</w:t>
      </w:r>
      <w:r w:rsidRPr="00E72616">
        <w:rPr>
          <w:rFonts w:ascii="Cambria Math" w:hAnsi="Cambria Math" w:cs="Cambria Math"/>
          <w:sz w:val="20"/>
          <w:szCs w:val="20"/>
        </w:rPr>
        <w:t>‐</w:t>
      </w:r>
      <w:r w:rsidRPr="00E72616">
        <w:rPr>
          <w:sz w:val="20"/>
          <w:szCs w:val="20"/>
        </w:rPr>
        <w:t xml:space="preserve">C       </w:t>
      </w:r>
      <w:r w:rsidRPr="00E72616">
        <w:rPr>
          <w:sz w:val="20"/>
          <w:szCs w:val="20"/>
        </w:rPr>
        <w:tab/>
        <w:t xml:space="preserve">1,00 kg/m2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sidRPr="00E72616">
        <w:rPr>
          <w:sz w:val="20"/>
          <w:szCs w:val="20"/>
        </w:rPr>
        <w:t xml:space="preserve"> štěrkodrť          </w:t>
      </w:r>
      <w:r w:rsidRPr="00E72616">
        <w:rPr>
          <w:sz w:val="20"/>
          <w:szCs w:val="20"/>
        </w:rPr>
        <w:tab/>
      </w:r>
      <w:r w:rsidRPr="00E72616">
        <w:rPr>
          <w:sz w:val="20"/>
          <w:szCs w:val="20"/>
        </w:rPr>
        <w:tab/>
      </w:r>
      <w:r w:rsidRPr="00E72616">
        <w:rPr>
          <w:sz w:val="20"/>
          <w:szCs w:val="20"/>
        </w:rPr>
        <w:tab/>
      </w:r>
      <w:r w:rsidRPr="00E72616">
        <w:rPr>
          <w:sz w:val="20"/>
          <w:szCs w:val="20"/>
        </w:rPr>
        <w:tab/>
        <w:t xml:space="preserve">ŠDA       </w:t>
      </w:r>
      <w:r w:rsidRPr="00E72616">
        <w:rPr>
          <w:sz w:val="20"/>
          <w:szCs w:val="20"/>
        </w:rPr>
        <w:tab/>
        <w:t xml:space="preserve">tl. 150 mm </w:t>
      </w:r>
    </w:p>
    <w:p w:rsidR="00E72616" w:rsidRPr="00E72616" w:rsidRDefault="00E72616" w:rsidP="00E72616">
      <w:pPr>
        <w:pStyle w:val="Zkladntext20"/>
        <w:shd w:val="clear" w:color="auto" w:fill="auto"/>
        <w:spacing w:after="0" w:line="276" w:lineRule="auto"/>
        <w:ind w:right="-64"/>
        <w:rPr>
          <w:sz w:val="20"/>
          <w:szCs w:val="20"/>
          <w:u w:val="single"/>
        </w:rPr>
      </w:pPr>
      <w:r w:rsidRPr="00E72616">
        <w:rPr>
          <w:sz w:val="20"/>
          <w:szCs w:val="20"/>
          <w:u w:val="single"/>
        </w:rPr>
        <w:sym w:font="Symbol" w:char="F0B7"/>
      </w:r>
      <w:r w:rsidRPr="00E72616">
        <w:rPr>
          <w:sz w:val="20"/>
          <w:szCs w:val="20"/>
          <w:u w:val="single"/>
        </w:rPr>
        <w:t xml:space="preserve"> štěrkodrť          </w:t>
      </w:r>
      <w:r w:rsidRPr="00E72616">
        <w:rPr>
          <w:sz w:val="20"/>
          <w:szCs w:val="20"/>
          <w:u w:val="single"/>
        </w:rPr>
        <w:tab/>
      </w:r>
      <w:r w:rsidRPr="00E72616">
        <w:rPr>
          <w:sz w:val="20"/>
          <w:szCs w:val="20"/>
          <w:u w:val="single"/>
        </w:rPr>
        <w:tab/>
      </w:r>
      <w:r w:rsidRPr="00E72616">
        <w:rPr>
          <w:sz w:val="20"/>
          <w:szCs w:val="20"/>
          <w:u w:val="single"/>
        </w:rPr>
        <w:tab/>
      </w:r>
      <w:r w:rsidRPr="00E72616">
        <w:rPr>
          <w:sz w:val="20"/>
          <w:szCs w:val="20"/>
          <w:u w:val="single"/>
        </w:rPr>
        <w:tab/>
        <w:t xml:space="preserve">ŠDA     </w:t>
      </w:r>
      <w:r w:rsidRPr="00E72616">
        <w:rPr>
          <w:sz w:val="20"/>
          <w:szCs w:val="20"/>
          <w:u w:val="single"/>
        </w:rPr>
        <w:tab/>
        <w:t xml:space="preserve">min. tl. 150 mm </w:t>
      </w:r>
    </w:p>
    <w:p w:rsidR="00E72616" w:rsidRPr="00E72616" w:rsidRDefault="00E72616" w:rsidP="00E72616">
      <w:pPr>
        <w:pStyle w:val="Zkladntext20"/>
        <w:shd w:val="clear" w:color="auto" w:fill="auto"/>
        <w:spacing w:after="0" w:line="276" w:lineRule="auto"/>
        <w:ind w:right="-64"/>
        <w:rPr>
          <w:sz w:val="20"/>
          <w:szCs w:val="20"/>
        </w:rPr>
      </w:pPr>
      <w:r w:rsidRPr="00E72616">
        <w:rPr>
          <w:sz w:val="20"/>
          <w:szCs w:val="20"/>
        </w:rPr>
        <w:sym w:font="Symbol" w:char="F0B7"/>
      </w:r>
      <w:r>
        <w:rPr>
          <w:sz w:val="20"/>
          <w:szCs w:val="20"/>
        </w:rPr>
        <w:t xml:space="preserve"> celkem                </w:t>
      </w:r>
      <w:r>
        <w:rPr>
          <w:sz w:val="20"/>
          <w:szCs w:val="20"/>
        </w:rPr>
        <w:tab/>
      </w:r>
      <w:r>
        <w:rPr>
          <w:sz w:val="20"/>
          <w:szCs w:val="20"/>
        </w:rPr>
        <w:tab/>
      </w:r>
      <w:r>
        <w:rPr>
          <w:sz w:val="20"/>
          <w:szCs w:val="20"/>
        </w:rPr>
        <w:tab/>
      </w:r>
      <w:r>
        <w:rPr>
          <w:sz w:val="20"/>
          <w:szCs w:val="20"/>
        </w:rPr>
        <w:tab/>
      </w:r>
      <w:r>
        <w:rPr>
          <w:sz w:val="20"/>
          <w:szCs w:val="20"/>
        </w:rPr>
        <w:tab/>
      </w:r>
      <w:r w:rsidRPr="00E72616">
        <w:rPr>
          <w:sz w:val="20"/>
          <w:szCs w:val="20"/>
        </w:rPr>
        <w:t>min. tl. 450 mm</w:t>
      </w:r>
    </w:p>
    <w:p w:rsidR="00E72616" w:rsidRPr="00E72616" w:rsidRDefault="00E72616" w:rsidP="00E72616">
      <w:pPr>
        <w:pStyle w:val="Zkladntext20"/>
        <w:shd w:val="clear" w:color="auto" w:fill="auto"/>
        <w:spacing w:after="0" w:line="276" w:lineRule="auto"/>
        <w:ind w:right="-64"/>
        <w:rPr>
          <w:sz w:val="20"/>
          <w:szCs w:val="20"/>
        </w:rPr>
      </w:pPr>
    </w:p>
    <w:p w:rsidR="00E72616" w:rsidRPr="00E72616" w:rsidRDefault="00E72616" w:rsidP="00E72616">
      <w:pPr>
        <w:pStyle w:val="Zkladntext20"/>
        <w:shd w:val="clear" w:color="auto" w:fill="auto"/>
        <w:spacing w:after="0" w:line="276" w:lineRule="auto"/>
        <w:ind w:right="-64"/>
        <w:rPr>
          <w:sz w:val="20"/>
          <w:szCs w:val="20"/>
        </w:rPr>
      </w:pPr>
    </w:p>
    <w:p w:rsidR="00E72616" w:rsidRPr="00E72616" w:rsidRDefault="00E72616" w:rsidP="00E72616">
      <w:pPr>
        <w:pStyle w:val="Zkladntext20"/>
        <w:shd w:val="clear" w:color="auto" w:fill="auto"/>
        <w:spacing w:after="0" w:line="276" w:lineRule="auto"/>
        <w:ind w:right="-64"/>
        <w:rPr>
          <w:sz w:val="20"/>
          <w:szCs w:val="20"/>
        </w:rPr>
      </w:pPr>
    </w:p>
    <w:p w:rsidR="00E72616" w:rsidRPr="00E72616" w:rsidRDefault="00E72616" w:rsidP="00E72616">
      <w:pPr>
        <w:spacing w:after="0"/>
        <w:jc w:val="both"/>
        <w:rPr>
          <w:rFonts w:ascii="Arial" w:eastAsia="Times New Roman" w:hAnsi="Arial" w:cs="Arial"/>
          <w:b/>
          <w:sz w:val="20"/>
          <w:szCs w:val="20"/>
          <w:lang w:eastAsia="cs-CZ"/>
        </w:rPr>
      </w:pPr>
    </w:p>
    <w:p w:rsidR="00E72616" w:rsidRPr="00E72616" w:rsidRDefault="00E72616" w:rsidP="00E72616">
      <w:pPr>
        <w:spacing w:after="0"/>
        <w:jc w:val="both"/>
        <w:rPr>
          <w:rFonts w:ascii="Arial" w:eastAsia="Times New Roman" w:hAnsi="Arial" w:cs="Arial"/>
          <w:b/>
          <w:sz w:val="20"/>
          <w:szCs w:val="20"/>
          <w:u w:val="single"/>
          <w:lang w:eastAsia="cs-CZ"/>
        </w:rPr>
      </w:pPr>
      <w:r w:rsidRPr="00E72616">
        <w:rPr>
          <w:rFonts w:ascii="Arial" w:eastAsia="Times New Roman" w:hAnsi="Arial" w:cs="Arial"/>
          <w:b/>
          <w:sz w:val="20"/>
          <w:szCs w:val="20"/>
          <w:u w:val="single"/>
          <w:lang w:eastAsia="cs-CZ"/>
        </w:rPr>
        <w:t>Zadávací podklady</w:t>
      </w:r>
    </w:p>
    <w:p w:rsidR="00E72616" w:rsidRPr="00E72616" w:rsidRDefault="00E72616" w:rsidP="00E72616">
      <w:pPr>
        <w:spacing w:after="0"/>
        <w:jc w:val="both"/>
        <w:rPr>
          <w:rFonts w:ascii="Arial" w:eastAsia="Times New Roman" w:hAnsi="Arial" w:cs="Arial"/>
          <w:sz w:val="20"/>
          <w:szCs w:val="20"/>
          <w:lang w:eastAsia="cs-CZ"/>
        </w:rPr>
      </w:pPr>
      <w:r w:rsidRPr="00E72616">
        <w:rPr>
          <w:rFonts w:ascii="Arial" w:eastAsia="Times New Roman" w:hAnsi="Arial" w:cs="Arial"/>
          <w:sz w:val="20"/>
          <w:szCs w:val="20"/>
          <w:lang w:eastAsia="cs-CZ"/>
        </w:rPr>
        <w:t xml:space="preserve">Požadavky na přestavbu propustku jsou specifikovány v projektové dokumentaci, kterou ve stupni PDPS spolu se soupisem prací v programu ASPE vypracovala Mostní projekce s. r. o., IČ 067 54 449, Jana Babáka 2733/11, 612 00 Brno. Zodpovědný projektant: Ing. František Pokorný, člen ČKAIT č. 1 006 240. Zpracování dokončeno 06/2024.  </w:t>
      </w:r>
    </w:p>
    <w:p w:rsidR="00E72616" w:rsidRPr="00E72616" w:rsidRDefault="00E72616" w:rsidP="00E72616">
      <w:pPr>
        <w:tabs>
          <w:tab w:val="left" w:pos="1134"/>
        </w:tabs>
        <w:autoSpaceDN w:val="0"/>
        <w:spacing w:after="0" w:line="240" w:lineRule="auto"/>
        <w:jc w:val="both"/>
        <w:textAlignment w:val="baseline"/>
        <w:rPr>
          <w:rFonts w:ascii="Arial" w:eastAsia="Times New Roman" w:hAnsi="Arial" w:cs="Arial"/>
          <w:bCs/>
          <w:iCs/>
          <w:sz w:val="20"/>
          <w:szCs w:val="20"/>
          <w:lang w:eastAsia="cs-CZ"/>
        </w:rPr>
      </w:pPr>
    </w:p>
    <w:p w:rsidR="00E72616" w:rsidRPr="00E72616" w:rsidRDefault="00E72616" w:rsidP="00E72616">
      <w:pPr>
        <w:tabs>
          <w:tab w:val="left" w:pos="1134"/>
        </w:tabs>
        <w:autoSpaceDN w:val="0"/>
        <w:spacing w:after="0" w:line="240" w:lineRule="auto"/>
        <w:jc w:val="both"/>
        <w:textAlignment w:val="baseline"/>
        <w:rPr>
          <w:rFonts w:ascii="Arial" w:eastAsia="Times New Roman" w:hAnsi="Arial" w:cs="Arial"/>
          <w:bCs/>
          <w:iCs/>
          <w:sz w:val="20"/>
          <w:szCs w:val="20"/>
          <w:lang w:eastAsia="cs-CZ"/>
        </w:rPr>
      </w:pPr>
    </w:p>
    <w:p w:rsidR="00E72616" w:rsidRPr="00E72616" w:rsidRDefault="00E72616" w:rsidP="00E72616">
      <w:pPr>
        <w:spacing w:after="120" w:line="240" w:lineRule="auto"/>
        <w:jc w:val="both"/>
        <w:rPr>
          <w:rStyle w:val="Nadpis5Char"/>
          <w:rFonts w:ascii="Arial" w:eastAsia="Calibri" w:hAnsi="Arial" w:cs="Arial"/>
          <w:i w:val="0"/>
          <w:sz w:val="20"/>
          <w:szCs w:val="20"/>
        </w:rPr>
      </w:pPr>
      <w:bookmarkStart w:id="1" w:name="_GoBack"/>
      <w:bookmarkEnd w:id="1"/>
    </w:p>
    <w:p w:rsidR="00C052D9" w:rsidRPr="00E72616" w:rsidRDefault="00C052D9" w:rsidP="00C052D9">
      <w:pPr>
        <w:spacing w:after="0" w:line="240" w:lineRule="auto"/>
        <w:jc w:val="both"/>
        <w:rPr>
          <w:rFonts w:ascii="Arial" w:eastAsia="Times New Roman" w:hAnsi="Arial" w:cs="Arial"/>
          <w:b/>
          <w:sz w:val="20"/>
          <w:szCs w:val="20"/>
          <w:lang w:eastAsia="cs-CZ"/>
        </w:rPr>
      </w:pPr>
    </w:p>
    <w:p w:rsidR="00C052D9" w:rsidRPr="00E72616" w:rsidRDefault="00C052D9" w:rsidP="00C052D9">
      <w:pPr>
        <w:spacing w:after="0"/>
        <w:ind w:left="708"/>
        <w:jc w:val="both"/>
        <w:rPr>
          <w:rFonts w:ascii="Arial" w:eastAsia="Times New Roman" w:hAnsi="Arial" w:cs="Arial"/>
          <w:bCs/>
          <w:iCs/>
          <w:sz w:val="20"/>
          <w:szCs w:val="20"/>
          <w:lang w:eastAsia="cs-CZ"/>
        </w:rPr>
      </w:pPr>
    </w:p>
    <w:p w:rsidR="00C052D9" w:rsidRPr="00E72616" w:rsidRDefault="00C052D9" w:rsidP="00C052D9">
      <w:pPr>
        <w:spacing w:after="0"/>
        <w:rPr>
          <w:rFonts w:ascii="Arial" w:hAnsi="Arial" w:cs="Arial"/>
          <w:sz w:val="20"/>
          <w:szCs w:val="20"/>
        </w:rPr>
      </w:pPr>
    </w:p>
    <w:p w:rsidR="00C052D9" w:rsidRPr="00E72616" w:rsidRDefault="00C052D9" w:rsidP="00C052D9">
      <w:pPr>
        <w:spacing w:after="0"/>
        <w:jc w:val="both"/>
        <w:rPr>
          <w:rFonts w:ascii="Arial" w:hAnsi="Arial" w:cs="Arial"/>
          <w:sz w:val="20"/>
          <w:szCs w:val="20"/>
        </w:rPr>
      </w:pPr>
    </w:p>
    <w:p w:rsidR="00CE4F6E" w:rsidRPr="00E72616" w:rsidRDefault="00CE4F6E" w:rsidP="00C052D9">
      <w:pPr>
        <w:rPr>
          <w:rFonts w:ascii="Arial" w:eastAsia="Times New Roman" w:hAnsi="Arial" w:cs="Arial"/>
          <w:sz w:val="20"/>
          <w:szCs w:val="20"/>
          <w:lang w:eastAsia="cs-CZ"/>
        </w:rPr>
      </w:pPr>
    </w:p>
    <w:sectPr w:rsidR="00CE4F6E" w:rsidRPr="00E72616" w:rsidSect="004F4618">
      <w:headerReference w:type="even" r:id="rId7"/>
      <w:headerReference w:type="default" r:id="rId8"/>
      <w:footerReference w:type="even" r:id="rId9"/>
      <w:footerReference w:type="default" r:id="rId10"/>
      <w:headerReference w:type="first" r:id="rId11"/>
      <w:footerReference w:type="first" r:id="rId12"/>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821D8A">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821D8A">
      <w:rPr>
        <w:rFonts w:ascii="Arial" w:hAnsi="Arial" w:cs="Arial"/>
        <w:b/>
        <w:noProof/>
        <w:sz w:val="16"/>
        <w:szCs w:val="16"/>
      </w:rPr>
      <w:t>2</w:t>
    </w:r>
    <w:r w:rsidR="00B0273E" w:rsidRPr="00B545BC">
      <w:rPr>
        <w:rFonts w:ascii="Arial" w:hAnsi="Arial" w:cs="Arial"/>
        <w:b/>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9776"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B545BC" w:rsidRDefault="00B477D7" w:rsidP="00E02F34">
    <w:pPr>
      <w:pStyle w:val="Zhlav"/>
      <w:pBdr>
        <w:bottom w:val="single" w:sz="4" w:space="1" w:color="auto"/>
      </w:pBdr>
      <w:jc w:val="right"/>
      <w:rPr>
        <w:rFonts w:ascii="Arial" w:hAnsi="Arial" w:cs="Arial"/>
        <w:sz w:val="16"/>
        <w:szCs w:val="16"/>
      </w:rPr>
    </w:pPr>
    <w:r>
      <w:rPr>
        <w:rFonts w:ascii="Arial" w:hAnsi="Arial" w:cs="Arial"/>
        <w:sz w:val="16"/>
        <w:szCs w:val="16"/>
      </w:rPr>
      <w:t>Příloha A1</w:t>
    </w:r>
  </w:p>
  <w:p w:rsidR="00B4322A" w:rsidRDefault="00B4322A" w:rsidP="0085017D">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11C02"/>
    <w:multiLevelType w:val="hybridMultilevel"/>
    <w:tmpl w:val="03264566"/>
    <w:lvl w:ilvl="0" w:tplc="2444B49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5A782D"/>
    <w:multiLevelType w:val="hybridMultilevel"/>
    <w:tmpl w:val="5860EF6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0"/>
  </w:num>
  <w:num w:numId="2">
    <w:abstractNumId w:val="19"/>
  </w:num>
  <w:num w:numId="3">
    <w:abstractNumId w:val="0"/>
  </w:num>
  <w:num w:numId="4">
    <w:abstractNumId w:val="15"/>
  </w:num>
  <w:num w:numId="5">
    <w:abstractNumId w:val="11"/>
  </w:num>
  <w:num w:numId="6">
    <w:abstractNumId w:val="14"/>
  </w:num>
  <w:num w:numId="7">
    <w:abstractNumId w:val="13"/>
  </w:num>
  <w:num w:numId="8">
    <w:abstractNumId w:val="5"/>
  </w:num>
  <w:num w:numId="9">
    <w:abstractNumId w:val="12"/>
  </w:num>
  <w:num w:numId="10">
    <w:abstractNumId w:val="4"/>
  </w:num>
  <w:num w:numId="11">
    <w:abstractNumId w:val="6"/>
  </w:num>
  <w:num w:numId="12">
    <w:abstractNumId w:val="2"/>
  </w:num>
  <w:num w:numId="13">
    <w:abstractNumId w:val="8"/>
  </w:num>
  <w:num w:numId="14">
    <w:abstractNumId w:val="20"/>
  </w:num>
  <w:num w:numId="15">
    <w:abstractNumId w:val="18"/>
  </w:num>
  <w:num w:numId="16">
    <w:abstractNumId w:val="3"/>
  </w:num>
  <w:num w:numId="17">
    <w:abstractNumId w:val="9"/>
  </w:num>
  <w:num w:numId="18">
    <w:abstractNumId w:val="21"/>
  </w:num>
  <w:num w:numId="19">
    <w:abstractNumId w:val="17"/>
  </w:num>
  <w:num w:numId="20">
    <w:abstractNumId w:val="7"/>
  </w:num>
  <w:num w:numId="21">
    <w:abstractNumId w:val="22"/>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3EC2"/>
    <w:rsid w:val="00077603"/>
    <w:rsid w:val="00091A0B"/>
    <w:rsid w:val="00100AEC"/>
    <w:rsid w:val="00105330"/>
    <w:rsid w:val="001310C6"/>
    <w:rsid w:val="00143858"/>
    <w:rsid w:val="00150F88"/>
    <w:rsid w:val="00160457"/>
    <w:rsid w:val="0016103B"/>
    <w:rsid w:val="00162E5A"/>
    <w:rsid w:val="00172C17"/>
    <w:rsid w:val="00174D7F"/>
    <w:rsid w:val="00186571"/>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819DD"/>
    <w:rsid w:val="00294439"/>
    <w:rsid w:val="00297B67"/>
    <w:rsid w:val="002A2808"/>
    <w:rsid w:val="002A70F8"/>
    <w:rsid w:val="002D116F"/>
    <w:rsid w:val="002D2AC8"/>
    <w:rsid w:val="00322187"/>
    <w:rsid w:val="00335791"/>
    <w:rsid w:val="003634A2"/>
    <w:rsid w:val="0036360F"/>
    <w:rsid w:val="003A6635"/>
    <w:rsid w:val="003B523E"/>
    <w:rsid w:val="003C0016"/>
    <w:rsid w:val="003D36F1"/>
    <w:rsid w:val="00405F21"/>
    <w:rsid w:val="00413BFA"/>
    <w:rsid w:val="0043662A"/>
    <w:rsid w:val="00437E4E"/>
    <w:rsid w:val="00487EB6"/>
    <w:rsid w:val="004B2925"/>
    <w:rsid w:val="004B4D66"/>
    <w:rsid w:val="004C2E7C"/>
    <w:rsid w:val="004C3D34"/>
    <w:rsid w:val="004E26C7"/>
    <w:rsid w:val="004F4618"/>
    <w:rsid w:val="005252AA"/>
    <w:rsid w:val="0052571B"/>
    <w:rsid w:val="005562DB"/>
    <w:rsid w:val="00575531"/>
    <w:rsid w:val="005875BA"/>
    <w:rsid w:val="005A2999"/>
    <w:rsid w:val="005C7610"/>
    <w:rsid w:val="005E469A"/>
    <w:rsid w:val="005E59F4"/>
    <w:rsid w:val="00605337"/>
    <w:rsid w:val="0060692D"/>
    <w:rsid w:val="00627D75"/>
    <w:rsid w:val="00633927"/>
    <w:rsid w:val="00635E1D"/>
    <w:rsid w:val="00651DA9"/>
    <w:rsid w:val="00651F7A"/>
    <w:rsid w:val="00660B95"/>
    <w:rsid w:val="006916B1"/>
    <w:rsid w:val="006A0285"/>
    <w:rsid w:val="006A3AD9"/>
    <w:rsid w:val="00723546"/>
    <w:rsid w:val="007349F9"/>
    <w:rsid w:val="00756EC0"/>
    <w:rsid w:val="0076591D"/>
    <w:rsid w:val="00771D72"/>
    <w:rsid w:val="007727C7"/>
    <w:rsid w:val="00781C90"/>
    <w:rsid w:val="007D1374"/>
    <w:rsid w:val="007F411D"/>
    <w:rsid w:val="007F463F"/>
    <w:rsid w:val="008023D2"/>
    <w:rsid w:val="00817C5F"/>
    <w:rsid w:val="008209FA"/>
    <w:rsid w:val="00821D8A"/>
    <w:rsid w:val="00844B90"/>
    <w:rsid w:val="0085017D"/>
    <w:rsid w:val="008602B0"/>
    <w:rsid w:val="008742AE"/>
    <w:rsid w:val="0088350B"/>
    <w:rsid w:val="00884EBA"/>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2A92"/>
    <w:rsid w:val="00A02C1A"/>
    <w:rsid w:val="00A111D2"/>
    <w:rsid w:val="00A15654"/>
    <w:rsid w:val="00A258B6"/>
    <w:rsid w:val="00A44DF5"/>
    <w:rsid w:val="00A65A4A"/>
    <w:rsid w:val="00A93CA0"/>
    <w:rsid w:val="00AA21EC"/>
    <w:rsid w:val="00AA42F6"/>
    <w:rsid w:val="00AA76D7"/>
    <w:rsid w:val="00AF5D3F"/>
    <w:rsid w:val="00B0273E"/>
    <w:rsid w:val="00B31119"/>
    <w:rsid w:val="00B3596C"/>
    <w:rsid w:val="00B41130"/>
    <w:rsid w:val="00B4147B"/>
    <w:rsid w:val="00B4322A"/>
    <w:rsid w:val="00B44286"/>
    <w:rsid w:val="00B477D7"/>
    <w:rsid w:val="00B545BC"/>
    <w:rsid w:val="00B64492"/>
    <w:rsid w:val="00B72CB0"/>
    <w:rsid w:val="00BD08E8"/>
    <w:rsid w:val="00BF7F20"/>
    <w:rsid w:val="00C040A0"/>
    <w:rsid w:val="00C0508D"/>
    <w:rsid w:val="00C052D9"/>
    <w:rsid w:val="00C34F5B"/>
    <w:rsid w:val="00C52667"/>
    <w:rsid w:val="00C65520"/>
    <w:rsid w:val="00CB1CE3"/>
    <w:rsid w:val="00CE4F6E"/>
    <w:rsid w:val="00CF3EA0"/>
    <w:rsid w:val="00D1051F"/>
    <w:rsid w:val="00D21DBE"/>
    <w:rsid w:val="00D24A4F"/>
    <w:rsid w:val="00D44AAC"/>
    <w:rsid w:val="00D674D6"/>
    <w:rsid w:val="00D7653D"/>
    <w:rsid w:val="00D83014"/>
    <w:rsid w:val="00DA5742"/>
    <w:rsid w:val="00E02F34"/>
    <w:rsid w:val="00E12753"/>
    <w:rsid w:val="00E26473"/>
    <w:rsid w:val="00E336FE"/>
    <w:rsid w:val="00E36ADA"/>
    <w:rsid w:val="00E4411A"/>
    <w:rsid w:val="00E72616"/>
    <w:rsid w:val="00EA03AD"/>
    <w:rsid w:val="00EC5DCC"/>
    <w:rsid w:val="00ED28F8"/>
    <w:rsid w:val="00ED43D1"/>
    <w:rsid w:val="00EE2E2A"/>
    <w:rsid w:val="00F11900"/>
    <w:rsid w:val="00F15CA5"/>
    <w:rsid w:val="00F22E46"/>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3">
    <w:name w:val="heading 3"/>
    <w:basedOn w:val="Normln"/>
    <w:next w:val="Normln"/>
    <w:link w:val="Nadpis3Char"/>
    <w:uiPriority w:val="9"/>
    <w:semiHidden/>
    <w:unhideWhenUsed/>
    <w:qFormat/>
    <w:rsid w:val="00162E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semiHidden/>
    <w:rsid w:val="00162E5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2</Pages>
  <Words>858</Words>
  <Characters>5069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42</cp:revision>
  <cp:lastPrinted>2021-10-13T06:50:00Z</cp:lastPrinted>
  <dcterms:created xsi:type="dcterms:W3CDTF">2020-01-14T13:40:00Z</dcterms:created>
  <dcterms:modified xsi:type="dcterms:W3CDTF">2024-07-25T11:11:00Z</dcterms:modified>
</cp:coreProperties>
</file>