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464"/>
      </w:tblGrid>
      <w:tr w:rsidR="00627D75" w:rsidRPr="00F16ACF" w:rsidTr="0085017D">
        <w:trPr>
          <w:trHeight w:val="465"/>
        </w:trPr>
        <w:tc>
          <w:tcPr>
            <w:tcW w:w="9464" w:type="dxa"/>
            <w:shd w:val="clear" w:color="auto" w:fill="FDE9D9"/>
          </w:tcPr>
          <w:p w:rsidR="00627D75" w:rsidRPr="00F16ACF" w:rsidRDefault="002715B4" w:rsidP="002715B4">
            <w:pPr>
              <w:pStyle w:val="Nzev"/>
              <w:spacing w:before="120" w:after="120" w:line="240" w:lineRule="auto"/>
              <w:rPr>
                <w:rFonts w:ascii="Arial" w:hAnsi="Arial" w:cs="Arial"/>
                <w:sz w:val="20"/>
                <w:szCs w:val="20"/>
              </w:rPr>
            </w:pPr>
            <w:r w:rsidRPr="00F16ACF">
              <w:rPr>
                <w:rFonts w:ascii="Arial" w:hAnsi="Arial" w:cs="Arial"/>
                <w:sz w:val="20"/>
                <w:szCs w:val="20"/>
                <w:lang w:val="cs-CZ"/>
              </w:rPr>
              <w:t>Technické podmínky</w:t>
            </w:r>
          </w:p>
        </w:tc>
      </w:tr>
    </w:tbl>
    <w:p w:rsidR="007F759A" w:rsidRDefault="007F759A" w:rsidP="007F759A">
      <w:pPr>
        <w:overflowPunct w:val="0"/>
        <w:autoSpaceDE w:val="0"/>
        <w:autoSpaceDN w:val="0"/>
        <w:adjustRightInd w:val="0"/>
        <w:spacing w:before="120" w:after="120"/>
        <w:jc w:val="both"/>
        <w:textAlignment w:val="baseline"/>
        <w:rPr>
          <w:rFonts w:ascii="Arial" w:hAnsi="Arial" w:cs="Arial"/>
          <w:b/>
          <w:sz w:val="20"/>
          <w:szCs w:val="20"/>
          <w:u w:val="single"/>
        </w:rPr>
      </w:pPr>
    </w:p>
    <w:p w:rsidR="007F759A" w:rsidRPr="007F759A" w:rsidRDefault="007F759A" w:rsidP="007F759A">
      <w:pPr>
        <w:overflowPunct w:val="0"/>
        <w:autoSpaceDE w:val="0"/>
        <w:autoSpaceDN w:val="0"/>
        <w:adjustRightInd w:val="0"/>
        <w:spacing w:before="120" w:after="120"/>
        <w:jc w:val="both"/>
        <w:textAlignment w:val="baseline"/>
        <w:rPr>
          <w:rFonts w:ascii="Arial" w:hAnsi="Arial" w:cs="Arial"/>
          <w:b/>
          <w:sz w:val="20"/>
          <w:szCs w:val="20"/>
          <w:u w:val="single"/>
        </w:rPr>
      </w:pPr>
      <w:r w:rsidRPr="007F759A">
        <w:rPr>
          <w:rFonts w:ascii="Arial" w:hAnsi="Arial" w:cs="Arial"/>
          <w:b/>
          <w:sz w:val="20"/>
          <w:szCs w:val="20"/>
          <w:u w:val="single"/>
        </w:rPr>
        <w:t>"III/38714 Skorotice - most ev. č. 38714-4"</w:t>
      </w:r>
    </w:p>
    <w:p w:rsidR="007F759A" w:rsidRPr="007F759A" w:rsidRDefault="007F759A" w:rsidP="007F759A">
      <w:pPr>
        <w:overflowPunct w:val="0"/>
        <w:autoSpaceDE w:val="0"/>
        <w:autoSpaceDN w:val="0"/>
        <w:adjustRightInd w:val="0"/>
        <w:spacing w:before="120" w:after="120" w:line="240" w:lineRule="auto"/>
        <w:jc w:val="both"/>
        <w:textAlignment w:val="baseline"/>
        <w:rPr>
          <w:rFonts w:ascii="Arial" w:eastAsia="Times New Roman" w:hAnsi="Arial" w:cs="Arial"/>
          <w:bCs/>
          <w:sz w:val="20"/>
          <w:szCs w:val="20"/>
          <w:lang w:eastAsia="cs-CZ"/>
        </w:rPr>
      </w:pPr>
      <w:r w:rsidRPr="007F759A">
        <w:rPr>
          <w:rFonts w:ascii="Arial" w:eastAsia="Times New Roman" w:hAnsi="Arial" w:cs="Arial"/>
          <w:bCs/>
          <w:sz w:val="20"/>
          <w:szCs w:val="20"/>
          <w:lang w:eastAsia="cs-CZ"/>
        </w:rPr>
        <w:t>Předmětem plnění je:</w:t>
      </w:r>
    </w:p>
    <w:p w:rsidR="007F759A" w:rsidRPr="007F759A" w:rsidRDefault="007F759A" w:rsidP="007F759A">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7F759A">
        <w:rPr>
          <w:rFonts w:ascii="Arial" w:hAnsi="Arial" w:cs="Arial"/>
          <w:bCs/>
          <w:sz w:val="20"/>
          <w:szCs w:val="20"/>
        </w:rPr>
        <w:t>Geodetické zaměření předmětného území (výškopisné a polohopisné zaměření) v potřebném rozsahu řešení komunikace</w:t>
      </w:r>
    </w:p>
    <w:p w:rsidR="007F759A" w:rsidRPr="007F759A" w:rsidRDefault="007F759A" w:rsidP="007F759A">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7F759A">
        <w:rPr>
          <w:rFonts w:ascii="Arial" w:hAnsi="Arial" w:cs="Arial"/>
          <w:bCs/>
          <w:sz w:val="20"/>
          <w:szCs w:val="20"/>
        </w:rPr>
        <w:t>Vypracování diagnostického průzkumu mostu</w:t>
      </w:r>
    </w:p>
    <w:p w:rsidR="007F759A" w:rsidRPr="007F759A" w:rsidRDefault="007F759A" w:rsidP="007F759A">
      <w:pPr>
        <w:pStyle w:val="Odstavecseseznamem"/>
        <w:numPr>
          <w:ilvl w:val="0"/>
          <w:numId w:val="22"/>
        </w:numPr>
        <w:overflowPunct w:val="0"/>
        <w:autoSpaceDE w:val="0"/>
        <w:autoSpaceDN w:val="0"/>
        <w:adjustRightInd w:val="0"/>
        <w:spacing w:before="120" w:after="120" w:line="240" w:lineRule="auto"/>
        <w:jc w:val="both"/>
        <w:textAlignment w:val="baseline"/>
        <w:rPr>
          <w:rFonts w:ascii="Arial" w:hAnsi="Arial" w:cs="Arial"/>
          <w:bCs/>
          <w:sz w:val="20"/>
          <w:szCs w:val="20"/>
        </w:rPr>
      </w:pPr>
      <w:r w:rsidRPr="007F759A">
        <w:rPr>
          <w:rFonts w:ascii="Arial" w:hAnsi="Arial" w:cs="Arial"/>
          <w:bCs/>
          <w:sz w:val="20"/>
          <w:szCs w:val="20"/>
        </w:rPr>
        <w:t xml:space="preserve">Vypracování inženýrsko-geologického průzkumu v místě nestabilního svahu včetně návrhu technického řešení </w:t>
      </w:r>
    </w:p>
    <w:p w:rsidR="007F759A" w:rsidRPr="007F759A" w:rsidRDefault="007F759A" w:rsidP="007F759A">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7F759A">
        <w:rPr>
          <w:rFonts w:ascii="Arial" w:hAnsi="Arial" w:cs="Arial"/>
          <w:bCs/>
          <w:sz w:val="20"/>
          <w:szCs w:val="20"/>
        </w:rPr>
        <w:t>Vypracování projektové dokumentace pro povolení stavby (DPS)</w:t>
      </w:r>
    </w:p>
    <w:p w:rsidR="007F759A" w:rsidRPr="007F759A" w:rsidRDefault="007F759A" w:rsidP="007F759A">
      <w:pPr>
        <w:overflowPunct w:val="0"/>
        <w:autoSpaceDE w:val="0"/>
        <w:autoSpaceDN w:val="0"/>
        <w:adjustRightInd w:val="0"/>
        <w:spacing w:after="120"/>
        <w:jc w:val="both"/>
        <w:textAlignment w:val="baseline"/>
        <w:rPr>
          <w:rFonts w:ascii="Arial" w:hAnsi="Arial" w:cs="Arial"/>
          <w:bCs/>
          <w:sz w:val="20"/>
          <w:szCs w:val="20"/>
        </w:rPr>
      </w:pPr>
      <w:r w:rsidRPr="007F759A">
        <w:rPr>
          <w:rFonts w:ascii="Arial" w:hAnsi="Arial" w:cs="Arial"/>
          <w:bCs/>
          <w:sz w:val="20"/>
          <w:szCs w:val="20"/>
        </w:rPr>
        <w:t xml:space="preserve">      -     Zpracování geometrického plánu pro zapsání věcného břemene Povodí Moravy </w:t>
      </w:r>
    </w:p>
    <w:p w:rsidR="007F759A" w:rsidRPr="007F759A" w:rsidRDefault="007F759A" w:rsidP="007F759A">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7F759A">
        <w:rPr>
          <w:rFonts w:ascii="Arial" w:hAnsi="Arial" w:cs="Arial"/>
          <w:bCs/>
          <w:sz w:val="20"/>
          <w:szCs w:val="20"/>
        </w:rPr>
        <w:t>Zajištění všech povolení potřebných k vlastní realizaci kompletních stavebních prací a zajištění kladných vyjádření a stanovisek všech dotčených orgánů pro podání řádných žádostí o vydání SP k příslušnému stavebnímu úřadu</w:t>
      </w:r>
    </w:p>
    <w:p w:rsidR="007F759A" w:rsidRPr="007F759A" w:rsidRDefault="007F759A" w:rsidP="007F759A">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7F759A">
        <w:rPr>
          <w:rFonts w:ascii="Arial" w:hAnsi="Arial" w:cs="Arial"/>
          <w:bCs/>
          <w:sz w:val="20"/>
          <w:szCs w:val="20"/>
        </w:rPr>
        <w:t>Zajištění povolení stavby (PS)</w:t>
      </w:r>
    </w:p>
    <w:p w:rsidR="007F759A" w:rsidRPr="007F759A" w:rsidRDefault="007F759A" w:rsidP="007F759A">
      <w:pPr>
        <w:pStyle w:val="Odstavecseseznamem"/>
        <w:numPr>
          <w:ilvl w:val="0"/>
          <w:numId w:val="22"/>
        </w:numPr>
        <w:overflowPunct w:val="0"/>
        <w:autoSpaceDE w:val="0"/>
        <w:autoSpaceDN w:val="0"/>
        <w:adjustRightInd w:val="0"/>
        <w:spacing w:after="0"/>
        <w:jc w:val="both"/>
        <w:textAlignment w:val="baseline"/>
        <w:rPr>
          <w:rFonts w:ascii="Arial" w:hAnsi="Arial" w:cs="Arial"/>
          <w:bCs/>
          <w:sz w:val="20"/>
          <w:szCs w:val="20"/>
        </w:rPr>
      </w:pPr>
      <w:r w:rsidRPr="007F759A">
        <w:rPr>
          <w:rFonts w:ascii="Arial" w:hAnsi="Arial" w:cs="Arial"/>
          <w:bCs/>
          <w:sz w:val="20"/>
          <w:szCs w:val="20"/>
        </w:rPr>
        <w:t>Vypracování projektové dokumentace pro provádění stavby (PDPS) včetně oceněného a neoceněného soupisu prací</w:t>
      </w:r>
    </w:p>
    <w:p w:rsidR="007F759A" w:rsidRPr="007F759A" w:rsidRDefault="007F759A" w:rsidP="007F759A">
      <w:pPr>
        <w:pStyle w:val="Odstavecseseznamem"/>
        <w:numPr>
          <w:ilvl w:val="0"/>
          <w:numId w:val="22"/>
        </w:numPr>
        <w:overflowPunct w:val="0"/>
        <w:autoSpaceDE w:val="0"/>
        <w:autoSpaceDN w:val="0"/>
        <w:adjustRightInd w:val="0"/>
        <w:spacing w:before="120" w:after="120" w:line="240" w:lineRule="auto"/>
        <w:jc w:val="both"/>
        <w:textAlignment w:val="baseline"/>
        <w:rPr>
          <w:rFonts w:ascii="Arial" w:hAnsi="Arial" w:cs="Arial"/>
          <w:bCs/>
          <w:sz w:val="20"/>
          <w:szCs w:val="20"/>
        </w:rPr>
      </w:pPr>
      <w:r w:rsidRPr="007F759A">
        <w:rPr>
          <w:rFonts w:ascii="Arial" w:hAnsi="Arial" w:cs="Arial"/>
          <w:bCs/>
          <w:sz w:val="20"/>
          <w:szCs w:val="20"/>
        </w:rPr>
        <w:t>Výkon autorského dozoru při realizaci stavby</w:t>
      </w:r>
    </w:p>
    <w:p w:rsidR="007F759A" w:rsidRPr="007F759A" w:rsidRDefault="007F759A" w:rsidP="007F759A">
      <w:pPr>
        <w:spacing w:after="120" w:line="240" w:lineRule="auto"/>
        <w:ind w:firstLine="360"/>
        <w:jc w:val="both"/>
        <w:rPr>
          <w:rFonts w:ascii="Arial" w:hAnsi="Arial" w:cs="Arial"/>
          <w:sz w:val="20"/>
          <w:szCs w:val="20"/>
        </w:rPr>
      </w:pP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Stávající most ev. č. 38714 – 4</w:t>
      </w:r>
      <w:r w:rsidRPr="007F759A">
        <w:rPr>
          <w:rFonts w:ascii="Arial" w:hAnsi="Arial" w:cs="Arial"/>
          <w:color w:val="333333"/>
          <w:sz w:val="20"/>
          <w:szCs w:val="20"/>
        </w:rPr>
        <w:t xml:space="preserve"> </w:t>
      </w:r>
      <w:r w:rsidRPr="007F759A">
        <w:rPr>
          <w:rFonts w:ascii="Arial" w:hAnsi="Arial" w:cs="Arial"/>
          <w:sz w:val="20"/>
          <w:szCs w:val="20"/>
        </w:rPr>
        <w:t>převádí Skorotický potok a polní cestu a nachází se v intravilánu obce Skorotice, staničení km 2,012 silnice III/38714.</w:t>
      </w:r>
    </w:p>
    <w:p w:rsidR="007F759A" w:rsidRPr="007F759A" w:rsidRDefault="007F759A" w:rsidP="007F759A">
      <w:pPr>
        <w:rPr>
          <w:rFonts w:ascii="Arial" w:hAnsi="Arial" w:cs="Arial"/>
          <w:sz w:val="20"/>
          <w:szCs w:val="20"/>
        </w:rPr>
      </w:pPr>
      <w:r w:rsidRPr="007F759A">
        <w:rPr>
          <w:rFonts w:ascii="Arial" w:hAnsi="Arial" w:cs="Arial"/>
          <w:sz w:val="20"/>
          <w:szCs w:val="20"/>
        </w:rPr>
        <w:t>Nosnou konstrukci tvoří jedno mostní pole. Most je kolmý. Rok postavení mostu je 1908 - viz údaj z ML. Nosnou konstrukci tvoří klenba vyzděná z lomového kamene. Podhled nosné konstrukce (včetně bočních ploch) je opatřen krycí vrstvou ze stříkaného betonu (torkret).</w:t>
      </w:r>
    </w:p>
    <w:p w:rsidR="007F759A" w:rsidRPr="007F759A" w:rsidRDefault="007F759A" w:rsidP="007F759A">
      <w:pPr>
        <w:rPr>
          <w:rFonts w:ascii="Arial" w:hAnsi="Arial" w:cs="Arial"/>
          <w:sz w:val="20"/>
          <w:szCs w:val="20"/>
          <w:highlight w:val="yellow"/>
        </w:rPr>
      </w:pPr>
      <w:r w:rsidRPr="007F759A">
        <w:rPr>
          <w:rFonts w:ascii="Arial" w:hAnsi="Arial" w:cs="Arial"/>
          <w:sz w:val="20"/>
          <w:szCs w:val="20"/>
        </w:rPr>
        <w:t>Základy mostních podpěr jsou nepřístupné, pravděpodobně plošné.</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Opěry i čtyři svahová křídla jsou vyzděny z kamene a omítnuty torkretem. Na mostní opěře 1 je provedeno opevnění ochranným betonovým prahem v patě. Čelní zdi jsou na obou stranách konstrukce zděné z lomového kamene. Povrchová úprava čelních zdí je provedena torkretem.</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Mostní křídla jsou všesměrná, svahová, zděná z lomového kamene, omítnuta torkretem.</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Mostní závěry ani ložiska nejsou na konstrukci tohoto typu prováděny.</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Vozovka na mostě je s živičným krytem se zpevněnou krajnicí. Zpevnění krajnice je provedeno asfaltovou vrstvou. Příčný sklon vozovky je jednostranný levý, podélný sklon je proti směru staničení. Odrazný proužek na pravé straně je tvořen mostní římsou, na levé straně není díky převrstvení vozovky.</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Mostní římsa na pravé návodní straně je železobetonová monolitická. Na pravé návodní straně má římsa celkovou výšku 0,15 m (nově nadbetonovaná o 0,36 m) a šířku 0,5 m. Na levé povodní straně je římsa z kamenných bloků výšky 0,16 m a šířky 0,7 m.</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Odvodnění mostu je provedeno příčným a podélným sklonem vozovky. Na levé straně je před i za koncem římsy proveden vodní skluz.</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Dopravní značení omezující zatížitelnost B13 – 24 t, E13 – Jediné vozidlo 30 t je osazeno na obou stranách mostu.</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Nosná konstrukce je ve stavu V – špatný, spodní stavba V – špatný, použitelnost: III – použitelné s výhradou.</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p>
    <w:p w:rsidR="007F759A" w:rsidRPr="007F759A" w:rsidRDefault="007F759A" w:rsidP="007F759A">
      <w:pPr>
        <w:autoSpaceDE w:val="0"/>
        <w:autoSpaceDN w:val="0"/>
        <w:adjustRightInd w:val="0"/>
        <w:spacing w:after="0" w:line="240" w:lineRule="auto"/>
        <w:rPr>
          <w:rFonts w:ascii="Arial" w:hAnsi="Arial" w:cs="Arial"/>
          <w:sz w:val="20"/>
          <w:szCs w:val="20"/>
        </w:rPr>
      </w:pPr>
      <w:r w:rsidRPr="007F759A">
        <w:rPr>
          <w:rFonts w:ascii="Arial" w:hAnsi="Arial" w:cs="Arial"/>
          <w:sz w:val="20"/>
          <w:szCs w:val="20"/>
        </w:rPr>
        <w:t xml:space="preserve">Na povrchu mostních opěr jsou zřejmé stopy zatékání s průsaky, výkvěty a vápenné výluhy. Spodní stavba vykazuje všesměrné trhliny v torkretu. Zdivo čelních zdí má všesměrné trhliny ve spárách, místy výkvěty, síť trhlin se rozrůstá. Kamenné zdivo křídel má všesměrné trhliny ve spárách, místy vypadanou </w:t>
      </w:r>
      <w:r w:rsidRPr="007F759A">
        <w:rPr>
          <w:rFonts w:ascii="Arial" w:hAnsi="Arial" w:cs="Arial"/>
          <w:sz w:val="20"/>
          <w:szCs w:val="20"/>
        </w:rPr>
        <w:lastRenderedPageBreak/>
        <w:t>spárovou maltu s uvolněnými kameny, místy výkvěty. Na podhledu nosné konstrukce jsou viditelné stopy promáčení, výkvěty, inkrustace. V torkretu jsou četné všesměrné trhliny, rozšiřují se a vznikají nové trhliny s inkrustací. Chybí opevnění paty OP2. V pravé mostní římse je příčná trhlina v celém průřezu pokračující do čelní zdi.</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Celkový počet polí: 1. Délka přemostění 3,60 m, délka NK 4,80 m, šikmost: kolmý 100,00 g, volná šířka 5,70 m, celková šířka mostu 6,10 m, plocha mostu 29,28 m2.</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Zatížitelnost: Vn = 24.0 t, Vr = 30 t, Ve = 45 t, Vaj(Va) = 18.0 t.</w:t>
      </w:r>
    </w:p>
    <w:p w:rsidR="007F759A" w:rsidRPr="007F759A" w:rsidRDefault="007F759A" w:rsidP="007F759A">
      <w:pPr>
        <w:autoSpaceDE w:val="0"/>
        <w:autoSpaceDN w:val="0"/>
        <w:adjustRightInd w:val="0"/>
        <w:spacing w:after="0" w:line="240" w:lineRule="auto"/>
        <w:rPr>
          <w:rFonts w:ascii="Arial" w:hAnsi="Arial" w:cs="Arial"/>
          <w:sz w:val="20"/>
          <w:szCs w:val="20"/>
        </w:rPr>
      </w:pPr>
    </w:p>
    <w:p w:rsidR="007F759A" w:rsidRPr="007F759A" w:rsidRDefault="007F759A" w:rsidP="007F759A">
      <w:pPr>
        <w:jc w:val="both"/>
        <w:rPr>
          <w:rFonts w:ascii="Arial" w:hAnsi="Arial" w:cs="Arial"/>
          <w:sz w:val="20"/>
          <w:szCs w:val="20"/>
        </w:rPr>
      </w:pPr>
      <w:r w:rsidRPr="007F759A">
        <w:rPr>
          <w:rFonts w:ascii="Arial" w:hAnsi="Arial" w:cs="Arial"/>
          <w:sz w:val="20"/>
          <w:szCs w:val="20"/>
        </w:rPr>
        <w:t>Zadavatel předpokládá, že stavební realizace bude probíhat za úplného uzavřeného silničního provozu. Předpokládaná doba realizace stavebních prací - rok 2026.</w:t>
      </w:r>
    </w:p>
    <w:p w:rsidR="007F759A" w:rsidRPr="007F759A" w:rsidRDefault="007F759A" w:rsidP="007F759A">
      <w:pPr>
        <w:jc w:val="both"/>
        <w:rPr>
          <w:rFonts w:ascii="Arial" w:hAnsi="Arial" w:cs="Arial"/>
          <w:sz w:val="20"/>
          <w:szCs w:val="20"/>
        </w:rPr>
      </w:pPr>
      <w:r w:rsidRPr="007F759A">
        <w:rPr>
          <w:rFonts w:ascii="Arial" w:hAnsi="Arial" w:cs="Arial"/>
          <w:sz w:val="20"/>
          <w:szCs w:val="20"/>
        </w:rPr>
        <w:t>Projektové dokumentace v jednotlivých stupních budou vypracovány v rozsahu daném platnými předpisy v době zpracování a předání dokončeného předmětu plnění.</w:t>
      </w:r>
    </w:p>
    <w:p w:rsidR="007F759A" w:rsidRPr="007F759A" w:rsidRDefault="007F759A" w:rsidP="007F759A">
      <w:pPr>
        <w:rPr>
          <w:rFonts w:ascii="Arial" w:hAnsi="Arial" w:cs="Arial"/>
          <w:b/>
          <w:sz w:val="20"/>
          <w:szCs w:val="20"/>
          <w:u w:val="single"/>
        </w:rPr>
      </w:pPr>
      <w:r w:rsidRPr="007F759A">
        <w:rPr>
          <w:rFonts w:ascii="Arial" w:hAnsi="Arial" w:cs="Arial"/>
          <w:b/>
          <w:sz w:val="20"/>
          <w:szCs w:val="20"/>
          <w:u w:val="single"/>
        </w:rPr>
        <w:t>Na výše uvedenou stavbu byla již vyhotovena v roce 2022 PD, ale nebyla vyhovující a to zejména z těchto důvodů:</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technická zpráva: členění není v souladu s vyhláškou 499/2006, příloha 11</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statický výpočet: je nepřehledný, krytí výztuže je pouze 30 mm, ve schématech je 50 mm, výpočet napětí v základové spáře je podle neplatné ČSN 73 1001</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podle BMS je staničení mostu opačně oproti projektové dokumentaci</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z vyjádření obce není patrno, zda nepožadovala chodník (u konstrukce mostu, kde se předpokládá životnost na dalších 100 let, by mělo být alespoň výhledově zajištěno)</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tloušťky čar ve výkresech neodpovídají normě ČSN 01 3466</w:t>
      </w:r>
    </w:p>
    <w:p w:rsidR="007F759A" w:rsidRPr="007F759A" w:rsidRDefault="007F759A" w:rsidP="007F759A">
      <w:pPr>
        <w:pStyle w:val="Prosttext"/>
        <w:jc w:val="both"/>
        <w:rPr>
          <w:rFonts w:ascii="Arial" w:eastAsia="Calibri" w:hAnsi="Arial" w:cs="Arial"/>
          <w:sz w:val="20"/>
          <w:szCs w:val="20"/>
        </w:rPr>
      </w:pP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V objektu SO 201:</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zcela chybí výkres půdorysu mostu – nový stav</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05: obecně by most měl být vykreslen ve směru staničení a osa rovnoběžně s dolní hranou výkresu, výkres je orientovaný v S-JTSK, nejsou zde spády a výškové kóty v řezech, chybí osy, chybí vytýčení, v koordinační situaci je M 1:250 a zde chybí</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06: je nepřehledný, nenavazují na sebe kóty, chybí popisy, vyznačení úrovně izolačních nátěrů nebo pásů, výškové kóty nesedí, nesedí součty, jsou tam zrcadlené spádovky, prostup křídlem není okótován (ani průměr ani umístění), nejsou naznačeny pracovní spáry</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07: použito strojařské kótování, kóty jsou v metrech, leadery zkosů 15/15 plavou ve vzduchu, chybí okapní nos, spádovky, 2 rohové pruty jsou moc blízko u sebe (předpoklad obtížného probetonování)</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08: nepřehledná orientace, chybí osy, vytýčení, kótovací čáry na sebe nenavazují, nesedí součty, výškové kóty nesedí</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09 - příčný řez: řez je proti směru staničení, měl by být ve směru (sklon doprava), chybí směrovky, špatná čitelnost, kótování, nepřehledné, špatná šrafa ŽB, pod římsou není protispád 6%, svodidlo nelícuje s římsou (navíc nebyl vznesen požadavek, tedy v intravilánu být nemusí a svodidlo nelícuje s římsou), chybí výškové kóty, chybí vykreslení dna, naznačení základů, úpravy koryta, návaznosti na okolní terén, na kótu tloušťky NK navazuje kóta výšky obruby, která navíc křižuje kótu vozovky, není vykreslena izolace</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10: nedostatečný popis, špatné šrafy, nesedí výškové kóty, drenáž za opěrou zřejmě není 150 mm dle VL4, řez je uříznutý na konci výkopu, nejsou km staničení opěr ani osy, chybí osa vč. výškových kót (nelze porovnat s příčným řezem a zkontrolovat), není vykreslena izolace, nejsou zkoseny rohy opěr, chybí kóty ochranného zásypu, popisy se odkazují na normu, ale nestanovují parametry Id nebo PS, šrafa ochranného obsypu za opěrou 2 přetéká, zrcadlená spádovka, na pláni bezdůvodně 60 MPa, dlažby v korytě by měly být do lože 150 mm, opět nečitelnost výšky textů</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11: svodidlo v intravilánu je zbytečné (možno osadit před a za mostem pro zajištění dopravy na vysokém svahu), vykreslené svodidlo nemá náběhy dle TPV, nelze ho lomit, nelze ho takto vyrobit a především převzít</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12: přetékají šrafy, dlažby by měly mít lože 150 mm</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13: dlažby by měly mít lože 150 mm</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15: není vykresleno v dostatečné vzdálenosti před a za mostem, není z toho zřejmé, jestli se tam neláme niveleta nebo jestli stávající stav v širším kontextu nevyžaduje úpravu nivelety, chybí délka úseku, výškové kóty</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lastRenderedPageBreak/>
        <w:t>- výkres 16: okraje nejsou vyztuženy dle normy (U vložkou z boku), u deskové konstrukce by hlavní výztuž měla být co nejblíže povrchu pro větší účinnost (příčná uvnitř), na toto rozpětí je R20/100 mm předimenzované, chybí smyková výztuž, ve tvaru opět chybí protispád pod nižší římsou, opět řez proti směru staničení, pokud deska spadá do třídy vlivu prostředí XD3 (stačilo by XD1, příp. XD2 pro ostřikové mlžení), tak je špatně krytí výztuže, to by pro XD3 a 100 let mělo být min. 50 mm</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17+18: není vytažena výztuž bokem, aby byla zřejmá skladba výztuže, výztuž je kreslena s kolmým "zlomem" a ne s ohybem v poloměru dle ČSN EN, chybí smyková výztuž</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20: nepřehledné tloušťky čar, zrcadlené texty, terén by měl navazovat na horní část křídel/říms (takhle to vypadá, že budou odkrytá čela křídel), chybí návaznost na okolní terén vlevo a vpravo, u pohledu na OP2 je zakreslena tlustá čára, z níž není zřejmé, proč tam je</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24: práh by měl mít rozměr 1000/500 dle VL4 206.25</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25: chybí vytýčení rohů křídel, špatně čitelné (velikost textů)</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26 vzorové detaily: správně by se měly vzít z PD vybrané detaily a překreslit dle daného projektu v odpovídajícím měřítku, v PD jsou nakresleny obecně, nepřehledné, např. drenáž za rubem má být DN 150 a ne 100</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27: chybí stávající stav, inženýrské sítě, nelze kontrolovat rozsah výkopu, nedefinovatelné svislé stěny u křídel, pravděpodobně se jedná o výkop ve svahu, řez je zkopírovaný a promazaný podélný profil, ale není zde řešen výkop</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 výkres 28+29: rozhledy by měly být přílohou DIO, chybí vlečné křivky (chybí prověření při zachování nenormové šířky 5,26 m pro nákladní automobil s přívěsem)</w:t>
      </w:r>
    </w:p>
    <w:p w:rsidR="007F759A" w:rsidRPr="007F759A" w:rsidRDefault="007F759A" w:rsidP="007F759A">
      <w:pPr>
        <w:pStyle w:val="Prosttext"/>
        <w:jc w:val="both"/>
        <w:rPr>
          <w:rFonts w:ascii="Arial" w:eastAsia="Calibri" w:hAnsi="Arial" w:cs="Arial"/>
          <w:sz w:val="20"/>
          <w:szCs w:val="20"/>
        </w:rPr>
      </w:pPr>
      <w:r w:rsidRPr="007F759A">
        <w:rPr>
          <w:rFonts w:ascii="Arial" w:eastAsia="Calibri" w:hAnsi="Arial" w:cs="Arial"/>
          <w:sz w:val="20"/>
          <w:szCs w:val="20"/>
        </w:rPr>
        <w:t>Bylo s obcí konzultováno, zda nepožaduje chodník s ohledem na umístění stavby v intravilánu obce?</w:t>
      </w:r>
    </w:p>
    <w:p w:rsidR="007F759A" w:rsidRPr="007F759A" w:rsidRDefault="007F759A" w:rsidP="007F759A">
      <w:pPr>
        <w:spacing w:after="0"/>
        <w:jc w:val="both"/>
        <w:rPr>
          <w:rFonts w:ascii="Arial" w:hAnsi="Arial" w:cs="Arial"/>
          <w:sz w:val="20"/>
          <w:szCs w:val="20"/>
        </w:rPr>
      </w:pPr>
      <w:r w:rsidRPr="007F759A">
        <w:rPr>
          <w:rFonts w:ascii="Arial" w:hAnsi="Arial" w:cs="Arial"/>
          <w:sz w:val="20"/>
          <w:szCs w:val="20"/>
        </w:rPr>
        <w:t>Plán BOZP byl neúplný</w:t>
      </w:r>
    </w:p>
    <w:p w:rsidR="007F759A" w:rsidRPr="007F759A" w:rsidRDefault="007F759A" w:rsidP="007F759A">
      <w:pPr>
        <w:pStyle w:val="Prosttext"/>
        <w:jc w:val="both"/>
        <w:rPr>
          <w:rFonts w:ascii="Arial" w:eastAsia="Calibri" w:hAnsi="Arial" w:cs="Arial"/>
          <w:sz w:val="20"/>
          <w:szCs w:val="20"/>
        </w:rPr>
      </w:pPr>
    </w:p>
    <w:p w:rsidR="007F759A" w:rsidRPr="007F759A" w:rsidRDefault="007F759A" w:rsidP="007F759A">
      <w:pPr>
        <w:spacing w:after="0"/>
        <w:jc w:val="both"/>
        <w:rPr>
          <w:rFonts w:ascii="Arial" w:hAnsi="Arial" w:cs="Arial"/>
          <w:sz w:val="20"/>
          <w:szCs w:val="20"/>
          <w:u w:val="single"/>
        </w:rPr>
      </w:pPr>
      <w:r w:rsidRPr="007F759A">
        <w:rPr>
          <w:rFonts w:ascii="Arial" w:hAnsi="Arial" w:cs="Arial"/>
          <w:sz w:val="20"/>
          <w:szCs w:val="20"/>
          <w:u w:val="single"/>
        </w:rPr>
        <w:t>V tomto případě se PD obecně jevila jako obnova stávajícího stavu. Zároveň ale dochází k demolici celého objektu a výstavbě nového mostu. Šířka jízdních pruhů byla nejasná, nebyla uvedena tabulka nebo článek vč. normy, ze které bylo čerpáno, ani rozšíření jízdního pruhu ve směrovém oblouku (vč. odkazu na článek, tabulku a normu), průjezdnost nebyla ověřena vlečnými křivkami. Z výkresů nebylo zřejmé, co je nový a co původní stav (ale nebylo půdorysně ve stejných hranicích, takže se jednoznačně jednalo o novostavbu a nikoli rekonstrukci). Obnovou stávajícího stavu docházelo k nežádoucí konzervaci nevyhovujícího stavu - špatné vedení komunikace, úzká vozovka, špatná průjezdnost, vlečné křivky, rozhled ve směrovém oblouku a nikoli jen sjezdů.</w:t>
      </w:r>
    </w:p>
    <w:p w:rsidR="007F759A" w:rsidRPr="007F759A" w:rsidRDefault="007F759A" w:rsidP="007F759A">
      <w:pPr>
        <w:jc w:val="both"/>
        <w:rPr>
          <w:rFonts w:ascii="Arial" w:hAnsi="Arial" w:cs="Arial"/>
          <w:sz w:val="20"/>
          <w:szCs w:val="20"/>
          <w:u w:val="single"/>
        </w:rPr>
      </w:pPr>
    </w:p>
    <w:p w:rsidR="007F759A" w:rsidRPr="007F759A" w:rsidRDefault="007F759A" w:rsidP="007F759A">
      <w:pPr>
        <w:jc w:val="both"/>
        <w:rPr>
          <w:rFonts w:ascii="Arial" w:hAnsi="Arial" w:cs="Arial"/>
          <w:sz w:val="20"/>
          <w:szCs w:val="20"/>
          <w:u w:val="single"/>
        </w:rPr>
      </w:pPr>
      <w:r w:rsidRPr="007F759A">
        <w:rPr>
          <w:rFonts w:ascii="Arial" w:hAnsi="Arial" w:cs="Arial"/>
          <w:sz w:val="20"/>
          <w:szCs w:val="20"/>
          <w:u w:val="single"/>
        </w:rPr>
        <w:t>Dle ČSN 73 6110, čl. 6.1, 4. - Při návrhu příčného uspořádání MK (norma platí i pro silnice v obcích) nejsou přípustné kombinace nejmenších skladebních prvků a nejsou také vhodné kombinace hodnot největších. Užití kombinace nejmenších skladebních prvků je přípustné pouze v odůvodněných případech při rekonstrukcích v omezeném stávajícím prostoru místní komunikace a při ověření průjezdnosti.</w:t>
      </w:r>
    </w:p>
    <w:p w:rsidR="007F759A" w:rsidRPr="007F759A" w:rsidRDefault="007F759A" w:rsidP="007F759A">
      <w:pPr>
        <w:rPr>
          <w:rFonts w:ascii="Arial" w:hAnsi="Arial" w:cs="Arial"/>
          <w:b/>
          <w:sz w:val="20"/>
          <w:szCs w:val="20"/>
          <w:u w:val="single"/>
        </w:rPr>
      </w:pPr>
    </w:p>
    <w:p w:rsidR="007F759A" w:rsidRPr="007F759A" w:rsidRDefault="007F759A" w:rsidP="007F759A">
      <w:pPr>
        <w:rPr>
          <w:rFonts w:ascii="Arial" w:hAnsi="Arial" w:cs="Arial"/>
          <w:b/>
          <w:sz w:val="20"/>
          <w:szCs w:val="20"/>
          <w:u w:val="single"/>
        </w:rPr>
      </w:pPr>
      <w:r w:rsidRPr="007F759A">
        <w:rPr>
          <w:rFonts w:ascii="Arial" w:hAnsi="Arial" w:cs="Arial"/>
          <w:b/>
          <w:sz w:val="20"/>
          <w:szCs w:val="20"/>
          <w:u w:val="single"/>
        </w:rPr>
        <w:t>Technické podmínky</w:t>
      </w:r>
    </w:p>
    <w:p w:rsidR="007F759A" w:rsidRPr="007F759A" w:rsidRDefault="007F759A" w:rsidP="007F759A">
      <w:pPr>
        <w:spacing w:after="120" w:line="240" w:lineRule="auto"/>
        <w:jc w:val="both"/>
        <w:rPr>
          <w:rFonts w:ascii="Arial" w:hAnsi="Arial" w:cs="Arial"/>
          <w:b/>
          <w:sz w:val="20"/>
          <w:szCs w:val="20"/>
          <w:u w:val="single"/>
        </w:rPr>
      </w:pPr>
      <w:r w:rsidRPr="007F759A">
        <w:rPr>
          <w:rFonts w:ascii="Arial" w:hAnsi="Arial" w:cs="Arial"/>
          <w:b/>
          <w:sz w:val="20"/>
          <w:szCs w:val="20"/>
          <w:u w:val="single"/>
        </w:rPr>
        <w:t>Vypracování dokumentace pro povolení stavby</w:t>
      </w:r>
    </w:p>
    <w:p w:rsidR="007F759A" w:rsidRPr="007F759A" w:rsidRDefault="007F759A" w:rsidP="007F759A">
      <w:pPr>
        <w:spacing w:after="120" w:line="240" w:lineRule="auto"/>
        <w:jc w:val="both"/>
        <w:rPr>
          <w:rFonts w:ascii="Arial" w:hAnsi="Arial" w:cs="Arial"/>
          <w:b/>
          <w:sz w:val="20"/>
          <w:szCs w:val="20"/>
        </w:rPr>
      </w:pPr>
      <w:r w:rsidRPr="007F759A">
        <w:rPr>
          <w:rFonts w:ascii="Arial" w:hAnsi="Arial" w:cs="Arial"/>
          <w:sz w:val="20"/>
          <w:szCs w:val="20"/>
        </w:rPr>
        <w:t xml:space="preserve">Rozsah a obsah dokumentace je stanoven Směrnicí pro dokumentaci staveb pozemních komunikací, </w:t>
      </w:r>
      <w:r w:rsidRPr="007F759A">
        <w:rPr>
          <w:rFonts w:ascii="Arial" w:eastAsia="Times New Roman" w:hAnsi="Arial" w:cs="Arial"/>
          <w:sz w:val="20"/>
          <w:szCs w:val="20"/>
          <w:lang w:eastAsia="cs-CZ"/>
        </w:rPr>
        <w:t>schválené Ministerstvem dopravy, Odborem liniových staveb a silničního správního úřadu, č. j. MD-23142/2022-930/2, ze dne 12. 7. 2022, s účinností od 1. 8. 2022,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Novou vyhláškou č. 227/2024 Sb. - o rozsahu a obsahu projektové dokumentace staveb dopravní infrastruktury.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stavebních demoličních materiálů do pozemních komunikací z 12/2023 a bude obsahovat:</w:t>
      </w:r>
    </w:p>
    <w:p w:rsidR="007F759A" w:rsidRPr="007F759A" w:rsidRDefault="007F759A" w:rsidP="007F759A">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F759A">
        <w:rPr>
          <w:rFonts w:ascii="Arial" w:hAnsi="Arial" w:cs="Arial"/>
          <w:sz w:val="20"/>
          <w:szCs w:val="20"/>
        </w:rPr>
        <w:lastRenderedPageBreak/>
        <w:t>Vlastní návrh technického řešení rekonstrukce bude proveden na základě IGP. Návrh bude projednaný na vstupním výrobním výboru. Součástí dokumentace bude řešení případných přeložek inženýrských sítí a úprava konstrukce silnice v daném rozsahu.</w:t>
      </w:r>
    </w:p>
    <w:p w:rsidR="007F759A" w:rsidRPr="007F759A" w:rsidRDefault="007F759A" w:rsidP="007F759A">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F759A">
        <w:rPr>
          <w:rFonts w:ascii="Arial" w:hAnsi="Arial" w:cs="Arial"/>
          <w:sz w:val="20"/>
          <w:szCs w:val="20"/>
        </w:rPr>
        <w:t xml:space="preserve">Zpracování Geometrického plánu, jeho projednání a vklad na příslušný Katastrální úřad pro zapsání věcného břemene (služebnosti) u případného trvalého záboru mostu na pozemku, se kterým hospodaří Povodí Moravy, s. p., pro možnost následného majetkoprávního vypořádání zadavatelem </w:t>
      </w:r>
    </w:p>
    <w:p w:rsidR="007F759A" w:rsidRPr="007F759A" w:rsidRDefault="007F759A" w:rsidP="007F759A">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F759A">
        <w:rPr>
          <w:rFonts w:ascii="Arial" w:hAnsi="Arial" w:cs="Arial"/>
          <w:sz w:val="20"/>
          <w:szCs w:val="20"/>
        </w:rPr>
        <w:t>Geodetické zaměření předmětného území (výškopisné a polohopisné zaměření) v potřebném rozsahu rekonstrukce předmětného díla</w:t>
      </w:r>
    </w:p>
    <w:p w:rsidR="007F759A" w:rsidRPr="007F759A" w:rsidRDefault="007F759A" w:rsidP="007F759A">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F759A">
        <w:rPr>
          <w:rFonts w:ascii="Arial" w:hAnsi="Arial" w:cs="Arial"/>
          <w:sz w:val="20"/>
          <w:szCs w:val="20"/>
        </w:rPr>
        <w:t>Podrobný inženýrskogeologický, geotechnický a hydrogeologický průzkum daného území (pokud bude pro zpracování PD a vydání příslušných stanovisek a povolení nutné)</w:t>
      </w:r>
    </w:p>
    <w:p w:rsidR="007F759A" w:rsidRPr="007F759A" w:rsidRDefault="007F759A" w:rsidP="007F759A">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F759A">
        <w:rPr>
          <w:rFonts w:ascii="Arial" w:hAnsi="Arial" w:cs="Arial"/>
          <w:sz w:val="20"/>
          <w:szCs w:val="20"/>
        </w:rPr>
        <w:t>Zákres stavby do aktuální katastrální mapy</w:t>
      </w:r>
    </w:p>
    <w:p w:rsidR="007F759A" w:rsidRPr="007F759A" w:rsidRDefault="007F759A" w:rsidP="007F759A">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F759A">
        <w:rPr>
          <w:rFonts w:ascii="Arial" w:hAnsi="Arial" w:cs="Arial"/>
          <w:sz w:val="20"/>
          <w:szCs w:val="20"/>
        </w:rPr>
        <w:t>Vytyčovací výkres stavby</w:t>
      </w:r>
    </w:p>
    <w:p w:rsidR="007F759A" w:rsidRPr="007F759A" w:rsidRDefault="007F759A" w:rsidP="007F759A">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F759A">
        <w:rPr>
          <w:rFonts w:ascii="Arial" w:hAnsi="Arial" w:cs="Arial"/>
          <w:sz w:val="20"/>
          <w:szCs w:val="20"/>
        </w:rPr>
        <w:t>Situace v měřítku min. 1:500</w:t>
      </w:r>
    </w:p>
    <w:p w:rsidR="007F759A" w:rsidRPr="007F759A" w:rsidRDefault="007F759A" w:rsidP="007F759A">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F759A">
        <w:rPr>
          <w:rFonts w:ascii="Arial" w:hAnsi="Arial" w:cs="Arial"/>
          <w:sz w:val="20"/>
          <w:szCs w:val="20"/>
        </w:rPr>
        <w:t>Zásady organizace výstavby</w:t>
      </w:r>
    </w:p>
    <w:p w:rsidR="007F759A" w:rsidRPr="007F759A" w:rsidRDefault="007F759A" w:rsidP="007F759A">
      <w:pPr>
        <w:overflowPunct w:val="0"/>
        <w:autoSpaceDE w:val="0"/>
        <w:autoSpaceDN w:val="0"/>
        <w:adjustRightInd w:val="0"/>
        <w:spacing w:after="0"/>
        <w:ind w:left="142"/>
        <w:jc w:val="both"/>
        <w:textAlignment w:val="baseline"/>
        <w:rPr>
          <w:rFonts w:ascii="Arial" w:hAnsi="Arial" w:cs="Arial"/>
          <w:sz w:val="20"/>
          <w:szCs w:val="20"/>
        </w:rPr>
      </w:pPr>
      <w:r w:rsidRPr="007F759A">
        <w:rPr>
          <w:rFonts w:ascii="Arial" w:hAnsi="Arial" w:cs="Arial"/>
          <w:sz w:val="20"/>
          <w:szCs w:val="20"/>
        </w:rPr>
        <w:t>-      Definitivní dopravní značení včetně příslušných projednání</w:t>
      </w:r>
    </w:p>
    <w:p w:rsidR="007F759A" w:rsidRPr="007F759A" w:rsidRDefault="007F759A" w:rsidP="007F759A">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F759A">
        <w:rPr>
          <w:rFonts w:ascii="Arial" w:hAnsi="Arial" w:cs="Arial"/>
          <w:sz w:val="20"/>
          <w:szCs w:val="20"/>
        </w:rPr>
        <w:t>Statický výpočet, hydrotechnický výpočet</w:t>
      </w:r>
    </w:p>
    <w:p w:rsidR="007F759A" w:rsidRPr="007F759A" w:rsidRDefault="007F759A" w:rsidP="007F759A">
      <w:pPr>
        <w:pStyle w:val="Odstavecseseznamem"/>
        <w:numPr>
          <w:ilvl w:val="0"/>
          <w:numId w:val="21"/>
        </w:numPr>
        <w:ind w:left="567" w:hanging="425"/>
        <w:jc w:val="both"/>
        <w:rPr>
          <w:rFonts w:ascii="Arial" w:hAnsi="Arial" w:cs="Arial"/>
          <w:sz w:val="20"/>
          <w:szCs w:val="20"/>
        </w:rPr>
      </w:pPr>
      <w:r w:rsidRPr="007F759A">
        <w:rPr>
          <w:rFonts w:ascii="Arial" w:hAnsi="Arial" w:cs="Arial"/>
          <w:sz w:val="20"/>
          <w:szCs w:val="20"/>
        </w:rPr>
        <w:t>Návrh kácení stromů včetně vyznačení v situaci, dendrologický průzkum (pokud bude pro zpracování PD a vydání příslušných stanovisek a povolení nutné), zajištění povolení ke kácení stromů je věcí zadavatele. V případě, že příslušný správní orgán povolí kácení dřevin dle PD, je nutné zjistit, zda se v dutinách stromů nenachází zvláště chráněné druhy živočichů – zejména netopýři, sovy či dřevokazní brouci (v tomto případě bude nutno zhotovitelem PD zažádat o výjimku z ochrany zvláště chráněných druhů na odboru životního prostředí Krajského úřadu Kraje Vysočina).</w:t>
      </w:r>
    </w:p>
    <w:p w:rsidR="007F759A" w:rsidRPr="007F759A" w:rsidRDefault="007F759A" w:rsidP="007F759A">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F759A">
        <w:rPr>
          <w:rFonts w:ascii="Arial" w:hAnsi="Arial" w:cs="Arial"/>
          <w:sz w:val="20"/>
          <w:szCs w:val="20"/>
        </w:rPr>
        <w:t>Záborový elaborát s tabulkou dotčených pozemků pro dočasný a trvalý zábor a zákres do katastrální mapy včetně sousedních pozemků.</w:t>
      </w:r>
    </w:p>
    <w:p w:rsidR="007F759A" w:rsidRPr="007F759A" w:rsidRDefault="007F759A" w:rsidP="007F759A">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7F759A">
        <w:rPr>
          <w:rFonts w:ascii="Arial" w:hAnsi="Arial" w:cs="Arial"/>
          <w:sz w:val="20"/>
          <w:szCs w:val="20"/>
        </w:rPr>
        <w:t>Zajištění souhlasu s vynětím pozemků trvale dotčených stavbou silnice ze ZPF a PUPFL včetně zpracování Pedologického průzkumu</w:t>
      </w:r>
    </w:p>
    <w:p w:rsidR="007F759A" w:rsidRPr="007F759A" w:rsidRDefault="007F759A" w:rsidP="007F759A">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7F759A">
        <w:rPr>
          <w:rFonts w:ascii="Arial" w:hAnsi="Arial" w:cs="Arial"/>
          <w:sz w:val="20"/>
          <w:szCs w:val="20"/>
        </w:rPr>
        <w:t>Zajištění souhlasu s dočasným vynětím pozemků dočasného záboru ze ZPF</w:t>
      </w:r>
    </w:p>
    <w:p w:rsidR="007F759A" w:rsidRPr="007F759A" w:rsidRDefault="007F759A" w:rsidP="007F759A">
      <w:pPr>
        <w:pStyle w:val="Odstavecseseznamem"/>
        <w:numPr>
          <w:ilvl w:val="1"/>
          <w:numId w:val="21"/>
        </w:numPr>
        <w:overflowPunct w:val="0"/>
        <w:autoSpaceDE w:val="0"/>
        <w:autoSpaceDN w:val="0"/>
        <w:adjustRightInd w:val="0"/>
        <w:spacing w:after="0"/>
        <w:ind w:hanging="425"/>
        <w:contextualSpacing w:val="0"/>
        <w:jc w:val="both"/>
        <w:textAlignment w:val="baseline"/>
        <w:rPr>
          <w:rFonts w:ascii="Arial" w:hAnsi="Arial" w:cs="Arial"/>
          <w:sz w:val="20"/>
          <w:szCs w:val="20"/>
        </w:rPr>
      </w:pPr>
      <w:r w:rsidRPr="007F759A">
        <w:rPr>
          <w:rFonts w:ascii="Arial" w:hAnsi="Arial" w:cs="Arial"/>
          <w:sz w:val="20"/>
          <w:szCs w:val="20"/>
        </w:rPr>
        <w:t>Součinnost zhotovitele při jednáních s vlastníky dotčených pozemků</w:t>
      </w:r>
    </w:p>
    <w:p w:rsidR="007F759A" w:rsidRPr="007F759A" w:rsidRDefault="007F759A" w:rsidP="007F759A">
      <w:pPr>
        <w:pStyle w:val="Odstavecseseznamem"/>
        <w:numPr>
          <w:ilvl w:val="0"/>
          <w:numId w:val="21"/>
        </w:numPr>
        <w:overflowPunct w:val="0"/>
        <w:autoSpaceDE w:val="0"/>
        <w:autoSpaceDN w:val="0"/>
        <w:adjustRightInd w:val="0"/>
        <w:spacing w:after="0"/>
        <w:ind w:left="567" w:hanging="425"/>
        <w:contextualSpacing w:val="0"/>
        <w:jc w:val="both"/>
        <w:textAlignment w:val="baseline"/>
        <w:rPr>
          <w:rFonts w:ascii="Arial" w:hAnsi="Arial" w:cs="Arial"/>
          <w:sz w:val="20"/>
          <w:szCs w:val="20"/>
        </w:rPr>
      </w:pPr>
      <w:r w:rsidRPr="007F759A">
        <w:rPr>
          <w:rFonts w:ascii="Arial" w:hAnsi="Arial" w:cs="Arial"/>
          <w:sz w:val="20"/>
          <w:szCs w:val="20"/>
        </w:rPr>
        <w:t>Odhad stavebních nákladů</w:t>
      </w:r>
    </w:p>
    <w:p w:rsidR="007F759A" w:rsidRPr="007F759A" w:rsidRDefault="007F759A" w:rsidP="007F759A">
      <w:pPr>
        <w:overflowPunct w:val="0"/>
        <w:autoSpaceDE w:val="0"/>
        <w:autoSpaceDN w:val="0"/>
        <w:adjustRightInd w:val="0"/>
        <w:spacing w:after="0"/>
        <w:ind w:left="142"/>
        <w:jc w:val="both"/>
        <w:textAlignment w:val="baseline"/>
        <w:rPr>
          <w:rFonts w:ascii="Arial" w:hAnsi="Arial" w:cs="Arial"/>
          <w:sz w:val="20"/>
          <w:szCs w:val="20"/>
        </w:rPr>
      </w:pPr>
      <w:r w:rsidRPr="007F759A">
        <w:rPr>
          <w:rFonts w:ascii="Arial" w:hAnsi="Arial" w:cs="Arial"/>
          <w:sz w:val="20"/>
          <w:szCs w:val="20"/>
        </w:rPr>
        <w:t>-      Prověření průběhu inženýrských sítí, přeložky inženýrských sítí</w:t>
      </w:r>
    </w:p>
    <w:p w:rsidR="007F759A" w:rsidRPr="007F759A" w:rsidRDefault="007F759A" w:rsidP="007F759A">
      <w:pPr>
        <w:overflowPunct w:val="0"/>
        <w:autoSpaceDE w:val="0"/>
        <w:autoSpaceDN w:val="0"/>
        <w:adjustRightInd w:val="0"/>
        <w:spacing w:after="0"/>
        <w:ind w:left="142"/>
        <w:jc w:val="both"/>
        <w:textAlignment w:val="baseline"/>
        <w:rPr>
          <w:rFonts w:ascii="Arial" w:hAnsi="Arial" w:cs="Arial"/>
          <w:sz w:val="20"/>
          <w:szCs w:val="20"/>
        </w:rPr>
      </w:pPr>
      <w:r w:rsidRPr="007F759A">
        <w:rPr>
          <w:rFonts w:ascii="Arial" w:hAnsi="Arial" w:cs="Arial"/>
          <w:sz w:val="20"/>
          <w:szCs w:val="20"/>
        </w:rPr>
        <w:t xml:space="preserve">-      Vyřešení nakládání s odpady dle nového Zákona č. 541/2020 Sb. a dle nové          </w:t>
      </w:r>
    </w:p>
    <w:p w:rsidR="007F759A" w:rsidRPr="007F759A" w:rsidRDefault="007F759A" w:rsidP="007F759A">
      <w:pPr>
        <w:overflowPunct w:val="0"/>
        <w:autoSpaceDE w:val="0"/>
        <w:autoSpaceDN w:val="0"/>
        <w:adjustRightInd w:val="0"/>
        <w:spacing w:after="0"/>
        <w:ind w:left="142"/>
        <w:jc w:val="both"/>
        <w:textAlignment w:val="baseline"/>
        <w:rPr>
          <w:rFonts w:ascii="Arial" w:hAnsi="Arial" w:cs="Arial"/>
          <w:sz w:val="20"/>
          <w:szCs w:val="20"/>
        </w:rPr>
      </w:pPr>
      <w:r w:rsidRPr="007F759A">
        <w:rPr>
          <w:rFonts w:ascii="Arial" w:hAnsi="Arial" w:cs="Arial"/>
          <w:sz w:val="20"/>
          <w:szCs w:val="20"/>
        </w:rPr>
        <w:t xml:space="preserve">       Vyhlášky č. 283/2023 Sb. - Vyhláška o stanovení podmínek, při jejichž splnění jsou </w:t>
      </w:r>
    </w:p>
    <w:p w:rsidR="007F759A" w:rsidRPr="007F759A" w:rsidRDefault="007F759A" w:rsidP="007F759A">
      <w:pPr>
        <w:overflowPunct w:val="0"/>
        <w:autoSpaceDE w:val="0"/>
        <w:autoSpaceDN w:val="0"/>
        <w:adjustRightInd w:val="0"/>
        <w:spacing w:after="0"/>
        <w:ind w:left="142"/>
        <w:jc w:val="both"/>
        <w:textAlignment w:val="baseline"/>
        <w:rPr>
          <w:rFonts w:ascii="Arial" w:hAnsi="Arial" w:cs="Arial"/>
          <w:sz w:val="20"/>
          <w:szCs w:val="20"/>
        </w:rPr>
      </w:pPr>
      <w:r w:rsidRPr="007F759A">
        <w:rPr>
          <w:rFonts w:ascii="Arial" w:hAnsi="Arial" w:cs="Arial"/>
          <w:sz w:val="20"/>
          <w:szCs w:val="20"/>
        </w:rPr>
        <w:t xml:space="preserve">       znovuzískaná asfaltová směs a znovuzískaný penetrační makadam vedlejším produktem </w:t>
      </w:r>
    </w:p>
    <w:p w:rsidR="007F759A" w:rsidRPr="007F759A" w:rsidRDefault="007F759A" w:rsidP="007F759A">
      <w:pPr>
        <w:overflowPunct w:val="0"/>
        <w:autoSpaceDE w:val="0"/>
        <w:autoSpaceDN w:val="0"/>
        <w:adjustRightInd w:val="0"/>
        <w:spacing w:after="0"/>
        <w:ind w:left="142"/>
        <w:jc w:val="both"/>
        <w:textAlignment w:val="baseline"/>
        <w:rPr>
          <w:rFonts w:ascii="Arial" w:hAnsi="Arial" w:cs="Arial"/>
          <w:sz w:val="20"/>
          <w:szCs w:val="20"/>
        </w:rPr>
      </w:pPr>
      <w:r w:rsidRPr="007F759A">
        <w:rPr>
          <w:rFonts w:ascii="Arial" w:hAnsi="Arial" w:cs="Arial"/>
          <w:sz w:val="20"/>
          <w:szCs w:val="20"/>
        </w:rPr>
        <w:t xml:space="preserve">       nebo přestávají být odpadem</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     Zajištění projednání, potřebných kladných vyjádření a souhlasných stanovisek všech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orgánů státní správy a samosprávy, organizací a správců dotčených inženýrských sítí pro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vydání společného územního a stavebního povolení, vč. případného následného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zapracování změn do projektové dokumentace</w:t>
      </w:r>
    </w:p>
    <w:p w:rsidR="007F759A" w:rsidRPr="007F759A" w:rsidRDefault="007F759A" w:rsidP="007F759A">
      <w:pPr>
        <w:numPr>
          <w:ilvl w:val="0"/>
          <w:numId w:val="21"/>
        </w:numPr>
        <w:spacing w:after="120"/>
        <w:ind w:left="567" w:hanging="425"/>
        <w:contextualSpacing/>
        <w:jc w:val="both"/>
        <w:rPr>
          <w:rFonts w:ascii="Arial" w:eastAsia="Times New Roman" w:hAnsi="Arial" w:cs="Arial"/>
          <w:sz w:val="20"/>
          <w:szCs w:val="20"/>
          <w:lang w:eastAsia="cs-CZ"/>
        </w:rPr>
      </w:pPr>
      <w:r w:rsidRPr="007F759A">
        <w:rPr>
          <w:rFonts w:ascii="Arial" w:eastAsia="Times New Roman" w:hAnsi="Arial" w:cs="Arial"/>
          <w:sz w:val="20"/>
          <w:szCs w:val="20"/>
          <w:lang w:eastAsia="cs-CZ"/>
        </w:rPr>
        <w:t xml:space="preserve">Podání žádosti o povolení stavebního záměru, zajištění vydání PS včetně potřebné inženýrské činnosti (např. dořešení změn PD v průběhu SŘ), získání doložky nabytí právní moci PS </w:t>
      </w:r>
    </w:p>
    <w:p w:rsidR="007F759A" w:rsidRPr="007F759A" w:rsidRDefault="007F759A" w:rsidP="007F759A">
      <w:pPr>
        <w:spacing w:after="120"/>
        <w:jc w:val="both"/>
        <w:rPr>
          <w:rFonts w:ascii="Arial" w:hAnsi="Arial" w:cs="Arial"/>
          <w:sz w:val="20"/>
          <w:szCs w:val="20"/>
        </w:rPr>
      </w:pPr>
      <w:r w:rsidRPr="007F759A">
        <w:rPr>
          <w:rFonts w:ascii="Arial" w:hAnsi="Arial" w:cs="Arial"/>
          <w:sz w:val="20"/>
          <w:szCs w:val="20"/>
        </w:rPr>
        <w:t>Majetkoprávní příprava, včetně zajištění příslušných smluv není součástí předmětu plnění a bude realizována zadavatelem. Zhotovitel zajistí pouze souhlasy dotčených vlastníků pozemků na situační výkres stavby v souladu s §184 a §187, odst.2, písm.c) zákona 283/2021 Sb, Stavební zákon, v platném znění, s účinností od 1. 1. 2024. Zhotovitel je však dále povinen spolupracovat se zadavatelem při jednání s vlastníky, tj. písemně informovat vlastníky dotčených pozemků o záměru realizovat stavbu, odpovídat na případné otázky vlastníků dotčených pozemků týkajících se technických záležitostí stavby a svolat výrobní výbor za účasti vlastníků dotčených pozemků, zástupců zadavatele a zástupců obcí,  v jejímž katastru se bude záměr realizovat.</w:t>
      </w:r>
    </w:p>
    <w:p w:rsidR="007F759A" w:rsidRPr="007F759A" w:rsidRDefault="007F759A" w:rsidP="007F759A">
      <w:pPr>
        <w:spacing w:after="120"/>
        <w:jc w:val="both"/>
        <w:rPr>
          <w:rFonts w:ascii="Arial" w:hAnsi="Arial" w:cs="Arial"/>
          <w:sz w:val="20"/>
          <w:szCs w:val="20"/>
        </w:rPr>
      </w:pPr>
      <w:r w:rsidRPr="007F759A">
        <w:rPr>
          <w:rFonts w:ascii="Arial" w:hAnsi="Arial" w:cs="Arial"/>
          <w:sz w:val="20"/>
          <w:szCs w:val="20"/>
        </w:rPr>
        <w:t xml:space="preserve">Dokumentace bude projednána na výrobních výborech (minimálně 2x) za účasti všech orgánů, organizací a vlastníků pozemků, dotčených touto stavbou. Před dokončením a odevzdáním každého </w:t>
      </w:r>
      <w:r w:rsidRPr="007F759A">
        <w:rPr>
          <w:rFonts w:ascii="Arial" w:hAnsi="Arial" w:cs="Arial"/>
          <w:sz w:val="20"/>
          <w:szCs w:val="20"/>
        </w:rPr>
        <w:lastRenderedPageBreak/>
        <w:t>stupně projektové dokumentace (tj. DPS a PDPS) budou svolány tzv. technicko-dokumentační komise (TDK) za účasti všech orgánů, organizací a vlastníků pozemků, dotčených touto stavbou. Zadavateli bude zhotovitelem v dostatečném předstihu   (7 dní) zaslána projektová dokumentace jako podklad pro TDK. Výrobní výbory a TDK svolává a zápis vyhotovuje zhotovitel projektové dokumentace.</w:t>
      </w:r>
    </w:p>
    <w:p w:rsidR="007F759A" w:rsidRPr="007F759A" w:rsidRDefault="007F759A" w:rsidP="007F759A">
      <w:pPr>
        <w:overflowPunct w:val="0"/>
        <w:autoSpaceDE w:val="0"/>
        <w:autoSpaceDN w:val="0"/>
        <w:adjustRightInd w:val="0"/>
        <w:spacing w:after="120"/>
        <w:jc w:val="both"/>
        <w:textAlignment w:val="baseline"/>
        <w:rPr>
          <w:rFonts w:ascii="Arial" w:hAnsi="Arial" w:cs="Arial"/>
          <w:sz w:val="20"/>
          <w:szCs w:val="20"/>
        </w:rPr>
      </w:pPr>
      <w:r w:rsidRPr="007F759A">
        <w:rPr>
          <w:rFonts w:ascii="Arial" w:hAnsi="Arial" w:cs="Arial"/>
          <w:sz w:val="20"/>
          <w:szCs w:val="20"/>
        </w:rPr>
        <w:t>Po definitivním odsouhlasení zadavatelem bude následně projektová dokumentace ve stupni pro vydání povolení stavebního záměru (DPS) a prováděcí dokumentace (PDPS) předána zadavateli v tištěné podobě a na CD (v plném rozsahu tištěné podoby) v následujícím počtu:</w:t>
      </w:r>
    </w:p>
    <w:p w:rsidR="007F759A" w:rsidRPr="007F759A" w:rsidRDefault="007F759A" w:rsidP="007F759A">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F759A">
        <w:rPr>
          <w:rFonts w:ascii="Arial" w:hAnsi="Arial" w:cs="Arial"/>
          <w:sz w:val="20"/>
          <w:szCs w:val="20"/>
        </w:rPr>
        <w:t xml:space="preserve">DPS - 3x v tištěné podobě, vč. dokladové části ve všech paré, 1x v digitální ve formátu *.dwg a *.pdf </w:t>
      </w:r>
    </w:p>
    <w:p w:rsidR="007F759A" w:rsidRPr="007F759A" w:rsidRDefault="007F759A" w:rsidP="007F759A">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F759A">
        <w:rPr>
          <w:rFonts w:ascii="Arial" w:hAnsi="Arial" w:cs="Arial"/>
          <w:sz w:val="20"/>
          <w:szCs w:val="20"/>
        </w:rPr>
        <w:t>Záborový elaborát – 2x v tištěné podobě, 1x v digitální ve formátu *.pdf nebo *.xls</w:t>
      </w:r>
    </w:p>
    <w:p w:rsidR="007F759A" w:rsidRPr="007F759A" w:rsidRDefault="007F759A" w:rsidP="007F759A">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F759A">
        <w:rPr>
          <w:rFonts w:ascii="Arial" w:hAnsi="Arial" w:cs="Arial"/>
          <w:sz w:val="20"/>
          <w:szCs w:val="20"/>
        </w:rPr>
        <w:t>Geodetické zaměření – 1x v digitální ve formátu *.dwg a *.pdf a vytyčovací síť vytyčovaných bodů ve formátu *.doc, *.xls nebo *.txt</w:t>
      </w:r>
    </w:p>
    <w:p w:rsidR="007F759A" w:rsidRPr="007F759A" w:rsidRDefault="007F759A" w:rsidP="007F759A">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F759A">
        <w:rPr>
          <w:rFonts w:ascii="Arial" w:hAnsi="Arial" w:cs="Arial"/>
          <w:sz w:val="20"/>
          <w:szCs w:val="20"/>
        </w:rPr>
        <w:t>Odhad stavebních nákladů – 1x v digitální ve formátu *.pdf nebo *.xls</w:t>
      </w:r>
    </w:p>
    <w:p w:rsidR="007F759A" w:rsidRPr="007F759A" w:rsidRDefault="007F759A" w:rsidP="007F759A">
      <w:pPr>
        <w:rPr>
          <w:rFonts w:ascii="Arial" w:hAnsi="Arial" w:cs="Arial"/>
          <w:b/>
          <w:sz w:val="20"/>
          <w:szCs w:val="20"/>
          <w:u w:val="single"/>
        </w:rPr>
      </w:pPr>
      <w:r w:rsidRPr="007F759A">
        <w:rPr>
          <w:rFonts w:ascii="Arial" w:hAnsi="Arial" w:cs="Arial"/>
          <w:b/>
          <w:sz w:val="20"/>
          <w:szCs w:val="20"/>
          <w:u w:val="single"/>
        </w:rPr>
        <w:t>Vypracování dokumentace pro provádění stavby</w:t>
      </w:r>
    </w:p>
    <w:p w:rsidR="007F759A" w:rsidRPr="007F759A" w:rsidRDefault="007F759A" w:rsidP="007F759A">
      <w:pPr>
        <w:overflowPunct w:val="0"/>
        <w:autoSpaceDE w:val="0"/>
        <w:autoSpaceDN w:val="0"/>
        <w:adjustRightInd w:val="0"/>
        <w:spacing w:before="240" w:after="120" w:line="240" w:lineRule="auto"/>
        <w:jc w:val="both"/>
        <w:textAlignment w:val="baseline"/>
        <w:rPr>
          <w:rFonts w:ascii="Arial" w:hAnsi="Arial" w:cs="Arial"/>
          <w:sz w:val="20"/>
          <w:szCs w:val="20"/>
        </w:rPr>
      </w:pPr>
      <w:r w:rsidRPr="007F759A">
        <w:rPr>
          <w:rFonts w:ascii="Arial" w:hAnsi="Arial" w:cs="Arial"/>
          <w:sz w:val="20"/>
          <w:szCs w:val="20"/>
        </w:rPr>
        <w:t xml:space="preserve">Rozsah a obsah dokumentace je stanoven Směrnicí pro dokumentaci staveb pozemních komunikací, schválené Ministerstvem dopravy, Odborem liniových staveb a silničního správního úřadu, č. j. MD-23142/2022-930/2, ze dne 12. 7. 2022, s účinností od 1. 8. 2022, Zákonem č. 283/2021 Sb. - Stavební zákon. Zákonem č. 284/2021 Sb. - Zákon, kterým se mění některé zákony v souvislosti s přijetím stavebního zákona, Zákonem č. 195/2022 Sb. - Zákon, kterým se mění zákon č. 283/2021 Sb., stavební zákon,  Zákonem č. 152/2023 Sb. - Zákon, kterým se mění zákon č. 283/2021 Sb., stavební zákon, ve znění zákona č. 195/2022 Sb., a některé další související zákony. </w:t>
      </w:r>
      <w:r w:rsidRPr="007F759A">
        <w:rPr>
          <w:rFonts w:ascii="Arial" w:eastAsia="Times New Roman" w:hAnsi="Arial" w:cs="Arial"/>
          <w:sz w:val="20"/>
          <w:szCs w:val="20"/>
          <w:lang w:eastAsia="cs-CZ"/>
        </w:rPr>
        <w:t xml:space="preserve">Novou vyhláškou č. 227/2024 Sb. - o rozsahu a obsahu projektové dokumentace staveb dopravní infrastruktury. </w:t>
      </w:r>
      <w:r w:rsidRPr="007F759A">
        <w:rPr>
          <w:rFonts w:ascii="Arial" w:hAnsi="Arial" w:cs="Arial"/>
          <w:sz w:val="20"/>
          <w:szCs w:val="20"/>
        </w:rPr>
        <w:t xml:space="preserve">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 Zákon č. 541/2020 Sb. - Zákon o odpadech. TP 210 Užití recyklovaných staveních demoličních materiálů do pozemních komuni</w:t>
      </w:r>
      <w:r w:rsidR="001B55CD">
        <w:rPr>
          <w:rFonts w:ascii="Arial" w:hAnsi="Arial" w:cs="Arial"/>
          <w:sz w:val="20"/>
          <w:szCs w:val="20"/>
        </w:rPr>
        <w:t>kací z 12/2023 a bude obsahovat</w:t>
      </w:r>
      <w:r w:rsidRPr="007F759A">
        <w:rPr>
          <w:rFonts w:ascii="Arial" w:hAnsi="Arial" w:cs="Arial"/>
          <w:sz w:val="20"/>
          <w:szCs w:val="20"/>
        </w:rPr>
        <w:t>:</w:t>
      </w:r>
    </w:p>
    <w:p w:rsidR="007F759A" w:rsidRPr="007F759A" w:rsidRDefault="007F759A" w:rsidP="007F759A">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Návrh rekonstrukce stávajícího mostu v souladu se zpracovanou PD.</w:t>
      </w:r>
      <w:r w:rsidRPr="007F759A">
        <w:rPr>
          <w:rFonts w:ascii="Arial" w:hAnsi="Arial" w:cs="Arial"/>
          <w:sz w:val="20"/>
          <w:szCs w:val="20"/>
        </w:rPr>
        <w:t xml:space="preserve"> </w:t>
      </w:r>
      <w:r w:rsidRPr="007F759A">
        <w:rPr>
          <w:rFonts w:ascii="Arial" w:eastAsia="Times New Roman" w:hAnsi="Arial" w:cs="Arial"/>
          <w:sz w:val="20"/>
          <w:szCs w:val="20"/>
          <w:lang w:eastAsia="cs-CZ"/>
        </w:rPr>
        <w:t>Součástí dokumentace bude řešení případných přeložek inženýrských sítí a úprava konstrukce silnice v daném rozsahu.</w:t>
      </w:r>
    </w:p>
    <w:p w:rsidR="007F759A" w:rsidRPr="007F759A" w:rsidRDefault="007F759A" w:rsidP="007F759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F759A">
        <w:rPr>
          <w:rFonts w:ascii="Arial" w:hAnsi="Arial" w:cs="Arial"/>
          <w:sz w:val="20"/>
          <w:szCs w:val="20"/>
        </w:rPr>
        <w:t>Vytyčovací výkres stavby</w:t>
      </w:r>
    </w:p>
    <w:p w:rsidR="007F759A" w:rsidRPr="007F759A" w:rsidRDefault="007F759A" w:rsidP="007F759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F759A">
        <w:rPr>
          <w:rFonts w:ascii="Arial" w:hAnsi="Arial" w:cs="Arial"/>
          <w:sz w:val="20"/>
          <w:szCs w:val="20"/>
        </w:rPr>
        <w:t>Definitivní dopravní značení včetně příslušných projednání</w:t>
      </w:r>
    </w:p>
    <w:p w:rsidR="007F759A" w:rsidRPr="007F759A" w:rsidRDefault="007F759A" w:rsidP="007F759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F759A">
        <w:rPr>
          <w:rFonts w:ascii="Arial" w:hAnsi="Arial" w:cs="Arial"/>
          <w:sz w:val="20"/>
          <w:szCs w:val="20"/>
        </w:rPr>
        <w:t>Katastrální a koordinační situace</w:t>
      </w:r>
    </w:p>
    <w:p w:rsidR="007F759A" w:rsidRPr="007F759A" w:rsidRDefault="007F759A" w:rsidP="007F759A">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7F759A">
        <w:rPr>
          <w:rFonts w:ascii="Arial" w:hAnsi="Arial" w:cs="Arial"/>
          <w:sz w:val="20"/>
          <w:szCs w:val="20"/>
        </w:rPr>
        <w:t>Zásady organizace výstavby</w:t>
      </w:r>
    </w:p>
    <w:p w:rsidR="007F759A" w:rsidRPr="007F759A" w:rsidRDefault="007F759A" w:rsidP="007F759A">
      <w:pPr>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 xml:space="preserve">-   </w:t>
      </w:r>
      <w:r w:rsidRPr="007F759A">
        <w:rPr>
          <w:rFonts w:ascii="Arial" w:hAnsi="Arial" w:cs="Arial"/>
          <w:sz w:val="20"/>
          <w:szCs w:val="20"/>
        </w:rPr>
        <w:t xml:space="preserve">   Výkaz výměr s bilancí zemních prací</w:t>
      </w:r>
      <w:r w:rsidRPr="007F759A">
        <w:rPr>
          <w:rFonts w:ascii="Arial" w:eastAsia="Times New Roman" w:hAnsi="Arial" w:cs="Arial"/>
          <w:sz w:val="20"/>
          <w:szCs w:val="20"/>
          <w:lang w:eastAsia="cs-CZ"/>
        </w:rPr>
        <w:t xml:space="preserve"> </w:t>
      </w:r>
      <w:r w:rsidRPr="007F759A">
        <w:rPr>
          <w:rFonts w:ascii="Arial" w:hAnsi="Arial" w:cs="Arial"/>
          <w:sz w:val="20"/>
          <w:szCs w:val="20"/>
        </w:rPr>
        <w:t xml:space="preserve">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Dopravně inženýrská opatření (DIO) po dobu provádění stavebních prací, návrh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objízdných tras, svislé dopravní značení pro dopravní opatření (zřízení a odstranění) bude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navrženo dle TP 66 pro provizorní dopravní značení</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Zpracování plánu BOZP ve fázi přípravy projektu odborně způsobilou osobou s platným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osvědčením dle Zákona č. 309/2006 Sb. § 10,  § 14  a § 15 - Zákon, kterým se upravují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další požadavky bezpečnosti a ochrany zdraví při práci v pracovněprávních vztazích a o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zajištění bezpečnosti a ochrany zdraví při činnosti nebo poskytování služeb mimo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pracovněprávní vztahy (zákon o zajištění dalších podmínek bezpečnosti a ochrany zdraví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při práci). Rozsah plánu bude dle Přílohy č. 6 k Nařízení vlády č. 591/2006 Sb. - Nařízení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vlády o bližších minimálních požadavcích na bezpečnost a ochranu zdraví při práci na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staveništích Nařízení vlády č. 136/2016 Sb. - Nařízení vlády, kterým se mění nařízení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vlády č. 591/2006 Sb., o bližších minimálních požadavcích na bezpečnost a ochranu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zdraví při práci na staveništích, a nařízení vlády č. 592/2006 Sb., o podmínkách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akreditace a provádění zkoušek z odborné způsobilosti.</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lastRenderedPageBreak/>
        <w:t xml:space="preserve">       Plán BOZP potvrzený koordinátorem BOZP – </w:t>
      </w:r>
      <w:r w:rsidRPr="007F759A">
        <w:rPr>
          <w:rFonts w:ascii="Arial" w:hAnsi="Arial" w:cs="Arial"/>
          <w:b/>
          <w:bCs/>
          <w:sz w:val="20"/>
          <w:szCs w:val="20"/>
          <w:u w:val="single"/>
        </w:rPr>
        <w:t>zhotovitel PD sdělí na VVV kontaktní údaje na koordinátora BOZP pro zpracování Plánu BOZP příslušnému zástupci ve věcech technických, který zajistí administraci objednávky Plánu BOZP na příslušného koordinátora BOZP.</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Havarijní a povodňový plán</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Neoceněný soupis prací, oceněný soupis prací (kontrolní rozpočet pro potřeby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zadavatele), soupis prací bude zpracován v rozpočtovém programu Aspe (v oborovém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třídníku stavebních konstrukcí OTSKP) v souladu s vyhláškou č. 405/2017 Sb., kterou se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mění vyhláška č. 499/2006 Sb., o dokumentaci staveb, ve znění vyhlášky č. 62/2013 Sb.,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a s Vyhláškou č. 169/2016 Sb., o stanovení rozsahu dokumentace veřejné zakázky na </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r w:rsidRPr="007F759A">
        <w:rPr>
          <w:rFonts w:ascii="Arial" w:hAnsi="Arial" w:cs="Arial"/>
          <w:sz w:val="20"/>
          <w:szCs w:val="20"/>
        </w:rPr>
        <w:t xml:space="preserve">       stavební práce a soupisu stavebních prací, dodávek a služeb s výkazem výměr.</w:t>
      </w:r>
    </w:p>
    <w:p w:rsidR="007F759A" w:rsidRPr="007F759A" w:rsidRDefault="007F759A" w:rsidP="007F759A">
      <w:pPr>
        <w:overflowPunct w:val="0"/>
        <w:autoSpaceDE w:val="0"/>
        <w:autoSpaceDN w:val="0"/>
        <w:adjustRightInd w:val="0"/>
        <w:spacing w:after="0"/>
        <w:jc w:val="both"/>
        <w:textAlignment w:val="baseline"/>
        <w:rPr>
          <w:rFonts w:ascii="Arial" w:hAnsi="Arial" w:cs="Arial"/>
          <w:sz w:val="20"/>
          <w:szCs w:val="20"/>
        </w:rPr>
      </w:pPr>
    </w:p>
    <w:p w:rsidR="007F759A" w:rsidRPr="007F759A" w:rsidRDefault="007F759A" w:rsidP="007F759A">
      <w:pPr>
        <w:spacing w:after="120" w:line="240" w:lineRule="auto"/>
        <w:jc w:val="both"/>
        <w:rPr>
          <w:rFonts w:ascii="Arial" w:hAnsi="Arial" w:cs="Arial"/>
          <w:sz w:val="20"/>
          <w:szCs w:val="20"/>
        </w:rPr>
      </w:pPr>
      <w:r w:rsidRPr="007F759A">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7F759A" w:rsidRPr="007F759A" w:rsidRDefault="007F759A" w:rsidP="007F759A">
      <w:pPr>
        <w:overflowPunct w:val="0"/>
        <w:autoSpaceDE w:val="0"/>
        <w:autoSpaceDN w:val="0"/>
        <w:adjustRightInd w:val="0"/>
        <w:spacing w:after="120" w:line="240" w:lineRule="auto"/>
        <w:jc w:val="both"/>
        <w:textAlignment w:val="baseline"/>
        <w:rPr>
          <w:rFonts w:ascii="Arial" w:hAnsi="Arial" w:cs="Arial"/>
          <w:sz w:val="20"/>
          <w:szCs w:val="20"/>
        </w:rPr>
      </w:pPr>
      <w:r w:rsidRPr="007F759A">
        <w:rPr>
          <w:rFonts w:ascii="Arial" w:hAnsi="Arial" w:cs="Arial"/>
          <w:sz w:val="20"/>
          <w:szCs w:val="20"/>
        </w:rPr>
        <w:t>Po definitivním odsouhlasení objednatelem bude následně PDPS předána objednateli v tištěné podobě a na CD (v plném rozsahu tištěné podoby) v následujícím počtu:</w:t>
      </w:r>
    </w:p>
    <w:p w:rsidR="007F759A" w:rsidRPr="007F759A" w:rsidRDefault="007F759A" w:rsidP="007F759A">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F759A">
        <w:rPr>
          <w:rFonts w:ascii="Arial" w:hAnsi="Arial" w:cs="Arial"/>
          <w:sz w:val="20"/>
          <w:szCs w:val="20"/>
        </w:rPr>
        <w:t xml:space="preserve">PDPS - 3x v tištěné podobě, 1x v digitální ve formátu *.dwg a *.pdf </w:t>
      </w:r>
    </w:p>
    <w:p w:rsidR="007F759A" w:rsidRPr="007F759A" w:rsidRDefault="007F759A" w:rsidP="007F759A">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F759A">
        <w:rPr>
          <w:rFonts w:ascii="Arial" w:hAnsi="Arial" w:cs="Arial"/>
          <w:sz w:val="20"/>
          <w:szCs w:val="20"/>
        </w:rPr>
        <w:t>Oceněný soupis prací – 1x v digitální ve formátu *.xls(x), *.pdf a *.xml (exportní soubor z Aspe v datovém předpisu XC4)</w:t>
      </w:r>
    </w:p>
    <w:p w:rsidR="007F759A" w:rsidRPr="007F759A" w:rsidRDefault="007F759A" w:rsidP="007F759A">
      <w:pPr>
        <w:pStyle w:val="Odstavecseseznamem"/>
        <w:numPr>
          <w:ilvl w:val="0"/>
          <w:numId w:val="21"/>
        </w:numPr>
        <w:overflowPunct w:val="0"/>
        <w:autoSpaceDE w:val="0"/>
        <w:autoSpaceDN w:val="0"/>
        <w:adjustRightInd w:val="0"/>
        <w:spacing w:after="120"/>
        <w:ind w:left="567" w:hanging="425"/>
        <w:jc w:val="both"/>
        <w:textAlignment w:val="baseline"/>
        <w:rPr>
          <w:rFonts w:ascii="Arial" w:hAnsi="Arial" w:cs="Arial"/>
          <w:sz w:val="20"/>
          <w:szCs w:val="20"/>
        </w:rPr>
      </w:pPr>
      <w:r w:rsidRPr="007F759A">
        <w:rPr>
          <w:rFonts w:ascii="Arial" w:hAnsi="Arial" w:cs="Arial"/>
          <w:sz w:val="20"/>
          <w:szCs w:val="20"/>
        </w:rPr>
        <w:t>Neoceněný soupis prací – 1x v digitální ve formátu *.xls(x), *.pdf a *.xml (exportní soubor z Aspe v datovém předpisu XC4)</w:t>
      </w:r>
    </w:p>
    <w:p w:rsidR="007F759A" w:rsidRPr="007F759A" w:rsidRDefault="007F759A" w:rsidP="007F759A">
      <w:pPr>
        <w:overflowPunct w:val="0"/>
        <w:autoSpaceDE w:val="0"/>
        <w:autoSpaceDN w:val="0"/>
        <w:adjustRightInd w:val="0"/>
        <w:spacing w:after="120" w:line="240" w:lineRule="auto"/>
        <w:jc w:val="both"/>
        <w:textAlignment w:val="baseline"/>
        <w:rPr>
          <w:rFonts w:ascii="Arial" w:hAnsi="Arial" w:cs="Arial"/>
          <w:sz w:val="20"/>
          <w:szCs w:val="20"/>
        </w:rPr>
      </w:pPr>
      <w:r w:rsidRPr="007F759A">
        <w:rPr>
          <w:rFonts w:ascii="Tahoma" w:hAnsi="Tahoma" w:cs="Tahoma"/>
          <w:sz w:val="20"/>
          <w:szCs w:val="20"/>
        </w:rPr>
        <w:t>⁕</w:t>
      </w:r>
      <w:r w:rsidRPr="007F759A">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7F759A" w:rsidRPr="007F759A" w:rsidRDefault="007F759A" w:rsidP="007F759A">
      <w:pPr>
        <w:overflowPunct w:val="0"/>
        <w:autoSpaceDE w:val="0"/>
        <w:autoSpaceDN w:val="0"/>
        <w:adjustRightInd w:val="0"/>
        <w:spacing w:after="120" w:line="240" w:lineRule="auto"/>
        <w:jc w:val="both"/>
        <w:textAlignment w:val="baseline"/>
        <w:rPr>
          <w:rFonts w:ascii="Arial" w:hAnsi="Arial" w:cs="Arial"/>
          <w:sz w:val="20"/>
          <w:szCs w:val="20"/>
        </w:rPr>
      </w:pPr>
      <w:r w:rsidRPr="007F759A">
        <w:rPr>
          <w:rFonts w:ascii="Arial" w:hAnsi="Arial" w:cs="Arial"/>
          <w:sz w:val="20"/>
          <w:szCs w:val="20"/>
        </w:rPr>
        <w:t xml:space="preserve">Digitální podoba projektové dokumentace bude předána na nosiči CD v plném rozsahu tištěné podoby. </w:t>
      </w:r>
    </w:p>
    <w:p w:rsidR="007F759A" w:rsidRPr="007F759A" w:rsidRDefault="007F759A" w:rsidP="007F759A">
      <w:pPr>
        <w:overflowPunct w:val="0"/>
        <w:autoSpaceDE w:val="0"/>
        <w:autoSpaceDN w:val="0"/>
        <w:adjustRightInd w:val="0"/>
        <w:spacing w:after="120" w:line="240" w:lineRule="auto"/>
        <w:jc w:val="both"/>
        <w:textAlignment w:val="baseline"/>
        <w:rPr>
          <w:rFonts w:ascii="Arial" w:hAnsi="Arial" w:cs="Arial"/>
          <w:sz w:val="20"/>
          <w:szCs w:val="20"/>
        </w:rPr>
      </w:pPr>
      <w:r w:rsidRPr="007F759A">
        <w:rPr>
          <w:rFonts w:ascii="Arial" w:hAnsi="Arial" w:cs="Arial"/>
          <w:sz w:val="20"/>
          <w:szCs w:val="20"/>
        </w:rPr>
        <w:t xml:space="preserve">Při převzetí této dokumentace bude disk zkontrolován na odkazu </w:t>
      </w:r>
      <w:hyperlink r:id="rId7" w:history="1">
        <w:r w:rsidRPr="007F759A">
          <w:rPr>
            <w:rStyle w:val="Hypertextovodkaz"/>
            <w:rFonts w:ascii="Arial" w:hAnsi="Arial" w:cs="Arial"/>
            <w:sz w:val="20"/>
            <w:szCs w:val="20"/>
          </w:rPr>
          <w:t>Datový předpis XC4</w:t>
        </w:r>
      </w:hyperlink>
      <w:r w:rsidRPr="007F759A">
        <w:rPr>
          <w:rStyle w:val="Hypertextovodkaz"/>
          <w:rFonts w:ascii="Arial" w:hAnsi="Arial" w:cs="Arial"/>
          <w:sz w:val="20"/>
          <w:szCs w:val="20"/>
        </w:rPr>
        <w:t xml:space="preserve"> : výsledek kontroly musí být vždy „</w:t>
      </w:r>
      <w:r w:rsidRPr="007F759A">
        <w:rPr>
          <w:rFonts w:ascii="Arial" w:hAnsi="Arial" w:cs="Arial"/>
          <w:sz w:val="20"/>
          <w:szCs w:val="20"/>
          <w:u w:val="single"/>
        </w:rPr>
        <w:t>Soubor odpovídá schématu XC4 – SP</w:t>
      </w:r>
      <w:r w:rsidRPr="007F759A">
        <w:rPr>
          <w:rFonts w:ascii="Arial" w:hAnsi="Arial" w:cs="Arial"/>
          <w:sz w:val="20"/>
          <w:szCs w:val="20"/>
        </w:rPr>
        <w:t xml:space="preserve">“. </w:t>
      </w:r>
    </w:p>
    <w:p w:rsidR="007F759A" w:rsidRPr="007F759A" w:rsidRDefault="007F759A" w:rsidP="007F759A">
      <w:pPr>
        <w:overflowPunct w:val="0"/>
        <w:autoSpaceDE w:val="0"/>
        <w:autoSpaceDN w:val="0"/>
        <w:adjustRightInd w:val="0"/>
        <w:spacing w:after="120" w:line="240" w:lineRule="auto"/>
        <w:jc w:val="both"/>
        <w:textAlignment w:val="baseline"/>
        <w:rPr>
          <w:rFonts w:ascii="Arial" w:hAnsi="Arial" w:cs="Arial"/>
          <w:sz w:val="20"/>
          <w:szCs w:val="20"/>
        </w:rPr>
      </w:pPr>
    </w:p>
    <w:p w:rsidR="007F759A" w:rsidRPr="007F759A" w:rsidRDefault="007F759A" w:rsidP="007F759A">
      <w:pPr>
        <w:rPr>
          <w:rFonts w:ascii="Arial" w:hAnsi="Arial" w:cs="Arial"/>
          <w:b/>
          <w:sz w:val="20"/>
          <w:szCs w:val="20"/>
          <w:u w:val="single"/>
        </w:rPr>
      </w:pPr>
      <w:r w:rsidRPr="007F759A">
        <w:rPr>
          <w:rFonts w:ascii="Arial" w:hAnsi="Arial" w:cs="Arial"/>
          <w:b/>
          <w:sz w:val="20"/>
          <w:szCs w:val="20"/>
          <w:u w:val="single"/>
        </w:rPr>
        <w:t>Zajištění vydání potřebných společných územních a stavebních povolení</w:t>
      </w:r>
    </w:p>
    <w:p w:rsidR="007F759A" w:rsidRPr="007F759A" w:rsidRDefault="007F759A" w:rsidP="007F759A">
      <w:pPr>
        <w:tabs>
          <w:tab w:val="num" w:pos="-1560"/>
        </w:tabs>
        <w:jc w:val="both"/>
        <w:rPr>
          <w:rFonts w:ascii="Arial" w:hAnsi="Arial" w:cs="Arial"/>
          <w:bCs/>
          <w:sz w:val="20"/>
          <w:szCs w:val="20"/>
        </w:rPr>
      </w:pPr>
      <w:r w:rsidRPr="007F759A">
        <w:rPr>
          <w:rFonts w:ascii="Arial" w:hAnsi="Arial" w:cs="Arial"/>
          <w:bCs/>
          <w:sz w:val="20"/>
          <w:szCs w:val="20"/>
        </w:rPr>
        <w:t xml:space="preserve">Zpracování potřebných žádostí o vydání společných územních a stavebních povolení včetně všech požadovaných příloh, vyjádření a stanovisek a podání řádných žádostí k příslušným stavebním úřadům dle jednotlivých stavebních objektů a příslušnosti k úřadu, který stavební objekty povoluje. </w:t>
      </w:r>
    </w:p>
    <w:p w:rsidR="007F759A" w:rsidRPr="007F759A" w:rsidRDefault="007F759A" w:rsidP="007F759A">
      <w:pPr>
        <w:tabs>
          <w:tab w:val="num" w:pos="-1560"/>
        </w:tabs>
        <w:jc w:val="both"/>
        <w:rPr>
          <w:rFonts w:ascii="Arial" w:hAnsi="Arial" w:cs="Arial"/>
          <w:bCs/>
          <w:sz w:val="20"/>
          <w:szCs w:val="20"/>
        </w:rPr>
      </w:pPr>
      <w:r w:rsidRPr="007F759A">
        <w:rPr>
          <w:rFonts w:ascii="Arial" w:hAnsi="Arial" w:cs="Arial"/>
          <w:bCs/>
          <w:sz w:val="20"/>
          <w:szCs w:val="20"/>
        </w:rPr>
        <w:t>Před podáním žádostí na příslušné stavební úřady, je zhotovitel povinen odsouhlasit si tyto žádosti včetně všech příloh se zástupci zadavatele.</w:t>
      </w:r>
    </w:p>
    <w:p w:rsidR="007F759A" w:rsidRPr="007F759A" w:rsidRDefault="007F759A" w:rsidP="007F759A">
      <w:pPr>
        <w:tabs>
          <w:tab w:val="num" w:pos="-1560"/>
        </w:tabs>
        <w:spacing w:after="0"/>
        <w:jc w:val="both"/>
        <w:rPr>
          <w:rFonts w:ascii="Arial" w:hAnsi="Arial" w:cs="Arial"/>
          <w:bCs/>
          <w:sz w:val="20"/>
          <w:szCs w:val="20"/>
        </w:rPr>
      </w:pPr>
      <w:r w:rsidRPr="007F759A">
        <w:rPr>
          <w:rFonts w:ascii="Arial" w:hAnsi="Arial" w:cs="Arial"/>
          <w:bCs/>
          <w:sz w:val="20"/>
          <w:szCs w:val="20"/>
        </w:rPr>
        <w:t xml:space="preserve">Pravomocná stavební povolení budou předány zadavateli: </w:t>
      </w:r>
    </w:p>
    <w:p w:rsidR="007F759A" w:rsidRPr="007F759A" w:rsidRDefault="007F759A" w:rsidP="007F759A">
      <w:pPr>
        <w:numPr>
          <w:ilvl w:val="0"/>
          <w:numId w:val="23"/>
        </w:numPr>
        <w:tabs>
          <w:tab w:val="clear" w:pos="360"/>
        </w:tabs>
        <w:overflowPunct w:val="0"/>
        <w:autoSpaceDE w:val="0"/>
        <w:autoSpaceDN w:val="0"/>
        <w:adjustRightInd w:val="0"/>
        <w:spacing w:after="0"/>
        <w:ind w:left="567" w:hanging="425"/>
        <w:jc w:val="both"/>
        <w:textAlignment w:val="baseline"/>
        <w:rPr>
          <w:rFonts w:ascii="Arial" w:hAnsi="Arial" w:cs="Arial"/>
          <w:sz w:val="20"/>
          <w:szCs w:val="20"/>
        </w:rPr>
      </w:pPr>
      <w:r w:rsidRPr="007F759A">
        <w:rPr>
          <w:rFonts w:ascii="Arial" w:hAnsi="Arial" w:cs="Arial"/>
          <w:sz w:val="20"/>
          <w:szCs w:val="20"/>
        </w:rPr>
        <w:t>1x originál každého povolení stavebního záměru (PS) v písemné podobě s vyznačením nabytí právní moci + projektová dokumentace pro povolení stavebního záměru (DPS) ověřená stavebním úřadem</w:t>
      </w:r>
    </w:p>
    <w:p w:rsidR="007F759A" w:rsidRPr="007F759A" w:rsidRDefault="007F759A" w:rsidP="007F759A">
      <w:pPr>
        <w:overflowPunct w:val="0"/>
        <w:autoSpaceDE w:val="0"/>
        <w:autoSpaceDN w:val="0"/>
        <w:adjustRightInd w:val="0"/>
        <w:spacing w:after="0"/>
        <w:ind w:left="567"/>
        <w:jc w:val="both"/>
        <w:textAlignment w:val="baseline"/>
        <w:rPr>
          <w:rFonts w:ascii="Arial" w:hAnsi="Arial" w:cs="Arial"/>
          <w:sz w:val="20"/>
          <w:szCs w:val="20"/>
        </w:rPr>
      </w:pPr>
    </w:p>
    <w:p w:rsidR="007F759A" w:rsidRPr="007F759A" w:rsidRDefault="007F759A" w:rsidP="007F759A">
      <w:pPr>
        <w:overflowPunct w:val="0"/>
        <w:autoSpaceDE w:val="0"/>
        <w:autoSpaceDN w:val="0"/>
        <w:adjustRightInd w:val="0"/>
        <w:spacing w:after="0"/>
        <w:ind w:left="567"/>
        <w:jc w:val="both"/>
        <w:textAlignment w:val="baseline"/>
        <w:rPr>
          <w:rFonts w:ascii="Arial" w:hAnsi="Arial" w:cs="Arial"/>
          <w:sz w:val="20"/>
          <w:szCs w:val="20"/>
        </w:rPr>
      </w:pPr>
    </w:p>
    <w:p w:rsidR="007F759A" w:rsidRPr="007F759A" w:rsidRDefault="007F759A" w:rsidP="007F759A">
      <w:pPr>
        <w:overflowPunct w:val="0"/>
        <w:autoSpaceDE w:val="0"/>
        <w:autoSpaceDN w:val="0"/>
        <w:adjustRightInd w:val="0"/>
        <w:spacing w:after="0"/>
        <w:ind w:left="567"/>
        <w:jc w:val="both"/>
        <w:textAlignment w:val="baseline"/>
        <w:rPr>
          <w:rFonts w:ascii="Arial" w:hAnsi="Arial" w:cs="Arial"/>
          <w:sz w:val="20"/>
          <w:szCs w:val="20"/>
        </w:rPr>
      </w:pPr>
    </w:p>
    <w:p w:rsidR="007F759A" w:rsidRPr="007F759A" w:rsidRDefault="007F759A" w:rsidP="007F759A">
      <w:pPr>
        <w:overflowPunct w:val="0"/>
        <w:autoSpaceDE w:val="0"/>
        <w:autoSpaceDN w:val="0"/>
        <w:adjustRightInd w:val="0"/>
        <w:spacing w:after="0"/>
        <w:ind w:left="567"/>
        <w:jc w:val="both"/>
        <w:textAlignment w:val="baseline"/>
        <w:rPr>
          <w:rFonts w:ascii="Arial" w:hAnsi="Arial" w:cs="Arial"/>
          <w:sz w:val="20"/>
          <w:szCs w:val="20"/>
        </w:rPr>
      </w:pPr>
    </w:p>
    <w:p w:rsidR="007F759A" w:rsidRPr="007F759A" w:rsidRDefault="007F759A" w:rsidP="007F759A">
      <w:pPr>
        <w:rPr>
          <w:rFonts w:ascii="Arial" w:hAnsi="Arial" w:cs="Arial"/>
          <w:b/>
          <w:sz w:val="20"/>
          <w:szCs w:val="20"/>
          <w:u w:val="single"/>
        </w:rPr>
      </w:pPr>
      <w:r w:rsidRPr="007F759A">
        <w:rPr>
          <w:rFonts w:ascii="Arial" w:hAnsi="Arial" w:cs="Arial"/>
          <w:b/>
          <w:sz w:val="20"/>
          <w:szCs w:val="20"/>
          <w:u w:val="single"/>
        </w:rPr>
        <w:t>Výkon autorského dozoru</w:t>
      </w:r>
    </w:p>
    <w:p w:rsidR="007F759A" w:rsidRPr="007F759A" w:rsidRDefault="007F759A" w:rsidP="007F759A">
      <w:pPr>
        <w:pStyle w:val="Zkladntextodsazen21"/>
        <w:spacing w:after="240" w:line="276" w:lineRule="auto"/>
        <w:ind w:left="0" w:firstLine="0"/>
        <w:rPr>
          <w:rFonts w:ascii="Arial" w:hAnsi="Arial" w:cs="Arial"/>
          <w:sz w:val="20"/>
        </w:rPr>
      </w:pPr>
      <w:r w:rsidRPr="007F759A">
        <w:rPr>
          <w:rFonts w:ascii="Arial" w:hAnsi="Arial" w:cs="Arial"/>
          <w:sz w:val="20"/>
        </w:rPr>
        <w:t xml:space="preserve">Výkonem autorského dozoru (AD) se rozumí uskutečnění činností předpokládaných obecně závaznými právními předpisy a vyžadovaných objektivní stavebně-technickou situací, jakožto součinnost autora při realizaci stavby podle zpracovaného projektu. V rámci výkonu AD je zhotovitel povinen zejména provádět </w:t>
      </w:r>
      <w:r w:rsidRPr="007F759A">
        <w:rPr>
          <w:rFonts w:ascii="Arial" w:hAnsi="Arial" w:cs="Arial"/>
          <w:sz w:val="20"/>
        </w:rPr>
        <w:lastRenderedPageBreak/>
        <w:t xml:space="preserve">pravidelnou kontrolu postupu realizace podle zpracovaného projektu, podávat vysvětlení a pokyny pro realizaci stavby. V případě potřeby provést přepracování nebo doplnění projektové dokumentace. </w:t>
      </w:r>
    </w:p>
    <w:p w:rsidR="007F759A" w:rsidRPr="007F759A" w:rsidRDefault="007F759A" w:rsidP="007F759A">
      <w:pPr>
        <w:pStyle w:val="Zkladntextodsazen21"/>
        <w:spacing w:after="240" w:line="276" w:lineRule="auto"/>
        <w:ind w:left="0" w:firstLine="0"/>
        <w:rPr>
          <w:rFonts w:ascii="Arial" w:hAnsi="Arial" w:cs="Arial"/>
          <w:sz w:val="20"/>
        </w:rPr>
      </w:pPr>
      <w:r w:rsidRPr="007F759A">
        <w:rPr>
          <w:rFonts w:ascii="Arial" w:hAnsi="Arial" w:cs="Arial"/>
          <w:sz w:val="20"/>
        </w:rPr>
        <w:t>Zhotovitel je povinen při plnění AD poskytnout svoji součinnost vždy bezodkladně poté, kdy bude k tomu zadavatelem vyzván nebo poté, kdy takovou potřebu sám zjistí.</w:t>
      </w:r>
    </w:p>
    <w:p w:rsidR="007F759A" w:rsidRPr="007F759A" w:rsidRDefault="007F759A" w:rsidP="007F759A">
      <w:pPr>
        <w:pStyle w:val="Zkladntextodsazen21"/>
        <w:spacing w:line="276" w:lineRule="auto"/>
        <w:ind w:left="0" w:firstLine="0"/>
        <w:rPr>
          <w:rFonts w:ascii="Arial" w:hAnsi="Arial" w:cs="Arial"/>
          <w:sz w:val="20"/>
        </w:rPr>
      </w:pPr>
      <w:r w:rsidRPr="007F759A">
        <w:rPr>
          <w:rFonts w:ascii="Arial" w:hAnsi="Arial" w:cs="Arial"/>
          <w:sz w:val="20"/>
        </w:rPr>
        <w:t>Předmětem výkonu AD je především:</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účastnit se předání staveniště dodavateli</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dohled nad realizací díla</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kontrola dodržování projektové dokumentace s přihlédnutím na podmínky určené stavebním povolením, souhlasem stavebního úřadu, případně nařízením nezbytných stavebních úprav</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posuzování postupu výstavby z technického hlediska a z hlediska časového plánu výstavby</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sledování a kontrola technických a kvalitativních parametrů stavby</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řešit drobné odchylky od projektu, které nebudou vyžadovat zpracování nového projektu případně jeho části nebo dodatku projektové dokumentace</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posuzovat návrhy zadavatele stavby na změny a odchylky v částech projektů zpracovávaných v rámci realizační dokumentace z pohledu dodržení technicko-ekonomických parametrů, dodržení lhůt výstavby, případně dalších údajů a ukazatelů</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vyjádření k požadavkům na zvětšený rozsah stavebních prací a dodávek materiálu oproti projektové dokumentaci</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 xml:space="preserve">účast na kontrolních dnech stavby </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 xml:space="preserve">účast na přejímacím řízení stavby a jejích dílčích částech, případné kolaudaci stavby a řádně spolupracovat při těchto řízeních </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provádění projekčních prací menšího rozsahu (doplňky a změny)</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poskytovat technické konzultace potřebné pro plynulost výstavby</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after="0" w:line="276" w:lineRule="auto"/>
        <w:textAlignment w:val="auto"/>
        <w:rPr>
          <w:rFonts w:ascii="Arial" w:hAnsi="Arial" w:cs="Arial"/>
          <w:sz w:val="20"/>
          <w:szCs w:val="20"/>
        </w:rPr>
      </w:pPr>
      <w:r w:rsidRPr="007F759A">
        <w:rPr>
          <w:rFonts w:ascii="Arial" w:hAnsi="Arial" w:cs="Arial"/>
          <w:sz w:val="20"/>
          <w:szCs w:val="20"/>
        </w:rPr>
        <w:t>konzultovat a podávat upřesnění při vypracování realizační dokumentace</w:t>
      </w:r>
    </w:p>
    <w:p w:rsidR="007F759A" w:rsidRPr="007F759A" w:rsidRDefault="007F759A" w:rsidP="007F759A">
      <w:pPr>
        <w:pStyle w:val="Zkladntext"/>
        <w:numPr>
          <w:ilvl w:val="0"/>
          <w:numId w:val="23"/>
        </w:numPr>
        <w:tabs>
          <w:tab w:val="clear" w:pos="360"/>
          <w:tab w:val="num" w:pos="426"/>
          <w:tab w:val="num" w:pos="567"/>
        </w:tabs>
        <w:overflowPunct/>
        <w:autoSpaceDE/>
        <w:autoSpaceDN/>
        <w:adjustRightInd/>
        <w:spacing w:line="276" w:lineRule="auto"/>
        <w:textAlignment w:val="auto"/>
        <w:rPr>
          <w:rFonts w:ascii="Arial" w:hAnsi="Arial" w:cs="Arial"/>
          <w:sz w:val="20"/>
          <w:szCs w:val="20"/>
        </w:rPr>
      </w:pPr>
      <w:r w:rsidRPr="007F759A">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7F759A" w:rsidRPr="007F759A" w:rsidRDefault="007F759A" w:rsidP="007F759A">
      <w:pPr>
        <w:pStyle w:val="Zkladntextodsazen21"/>
        <w:tabs>
          <w:tab w:val="left" w:pos="567"/>
        </w:tabs>
        <w:spacing w:after="240" w:line="276" w:lineRule="auto"/>
        <w:ind w:left="0" w:firstLine="0"/>
        <w:rPr>
          <w:rFonts w:ascii="Arial" w:hAnsi="Arial" w:cs="Arial"/>
          <w:iCs/>
          <w:sz w:val="20"/>
        </w:rPr>
      </w:pPr>
      <w:r w:rsidRPr="007F759A">
        <w:rPr>
          <w:rFonts w:ascii="Arial" w:hAnsi="Arial" w:cs="Arial"/>
          <w:iCs/>
          <w:sz w:val="20"/>
        </w:rPr>
        <w:t>Zjistí-li autor při výkonu autorského dozoru nedodržení projektové dokumentace stavby, uvědomí bez zbytečného odkladu o této skutečnosti zadavatele a zhotovitele stavby. V odůvodněných případech uvede stručnou charakteristiku porušení dokumentace a tomu odpovídající důsledky.</w:t>
      </w:r>
    </w:p>
    <w:p w:rsidR="007F759A" w:rsidRPr="007F759A" w:rsidRDefault="007F759A" w:rsidP="007F759A">
      <w:pPr>
        <w:pStyle w:val="Zkladntextodsazen21"/>
        <w:tabs>
          <w:tab w:val="left" w:pos="567"/>
        </w:tabs>
        <w:spacing w:after="240" w:line="276" w:lineRule="auto"/>
        <w:ind w:left="0" w:firstLine="0"/>
        <w:rPr>
          <w:rFonts w:ascii="Arial" w:hAnsi="Arial" w:cs="Arial"/>
          <w:sz w:val="20"/>
        </w:rPr>
      </w:pPr>
      <w:r w:rsidRPr="007F759A">
        <w:rPr>
          <w:rFonts w:ascii="Arial" w:hAnsi="Arial" w:cs="Arial"/>
          <w:sz w:val="20"/>
        </w:rPr>
        <w:t xml:space="preserve">AD bude vykonáván na vyžádání ze strany zadavatele. Předmět, termín a místo výkonu AD budou dohodnuty vždy individuálně při každé výzvě zadavatele. </w:t>
      </w:r>
    </w:p>
    <w:p w:rsidR="007F759A" w:rsidRPr="007F759A" w:rsidRDefault="007F759A" w:rsidP="007F759A">
      <w:pPr>
        <w:rPr>
          <w:rFonts w:ascii="Arial" w:hAnsi="Arial" w:cs="Arial"/>
          <w:b/>
          <w:sz w:val="20"/>
          <w:szCs w:val="20"/>
          <w:u w:val="single"/>
        </w:rPr>
      </w:pPr>
      <w:r w:rsidRPr="007F759A">
        <w:rPr>
          <w:rFonts w:ascii="Arial" w:hAnsi="Arial" w:cs="Arial"/>
          <w:b/>
          <w:sz w:val="20"/>
          <w:szCs w:val="20"/>
          <w:u w:val="single"/>
        </w:rPr>
        <w:t>Místo plnění/realizace</w:t>
      </w:r>
    </w:p>
    <w:p w:rsidR="007F759A" w:rsidRPr="007F759A" w:rsidRDefault="007F759A" w:rsidP="007F759A">
      <w:pPr>
        <w:rPr>
          <w:rFonts w:ascii="Arial" w:hAnsi="Arial" w:cs="Arial"/>
          <w:sz w:val="20"/>
          <w:szCs w:val="20"/>
        </w:rPr>
      </w:pPr>
      <w:r w:rsidRPr="007F759A">
        <w:rPr>
          <w:rFonts w:ascii="Arial" w:hAnsi="Arial" w:cs="Arial"/>
          <w:sz w:val="20"/>
          <w:szCs w:val="20"/>
        </w:rPr>
        <w:t>Místo stavby – Kraj Vysočina, okres Žďár nad Sázavou, obec Skorotice</w:t>
      </w:r>
    </w:p>
    <w:p w:rsidR="007F759A" w:rsidRPr="007F759A" w:rsidRDefault="007F759A" w:rsidP="007F759A">
      <w:pPr>
        <w:rPr>
          <w:rFonts w:ascii="Arial" w:hAnsi="Arial" w:cs="Arial"/>
          <w:b/>
          <w:sz w:val="20"/>
          <w:szCs w:val="20"/>
          <w:u w:val="single"/>
        </w:rPr>
      </w:pPr>
      <w:r w:rsidRPr="007F759A">
        <w:rPr>
          <w:rFonts w:ascii="Arial" w:hAnsi="Arial" w:cs="Arial"/>
          <w:b/>
          <w:sz w:val="20"/>
          <w:szCs w:val="20"/>
          <w:u w:val="single"/>
        </w:rPr>
        <w:t>Veřejný provoz</w:t>
      </w:r>
    </w:p>
    <w:p w:rsidR="007F759A" w:rsidRPr="007F759A" w:rsidRDefault="007F759A" w:rsidP="007F759A">
      <w:pPr>
        <w:rPr>
          <w:rFonts w:ascii="Arial" w:hAnsi="Arial" w:cs="Arial"/>
          <w:sz w:val="20"/>
          <w:szCs w:val="20"/>
        </w:rPr>
      </w:pPr>
      <w:r w:rsidRPr="007F759A">
        <w:rPr>
          <w:rFonts w:ascii="Arial" w:hAnsi="Arial" w:cs="Arial"/>
          <w:sz w:val="20"/>
          <w:szCs w:val="20"/>
        </w:rPr>
        <w:t>Zadavatel předpokládá, že projektovaná rekonstrukce bude probíhat za úplné uzavírky silničního provozu.</w:t>
      </w:r>
    </w:p>
    <w:p w:rsidR="007F759A" w:rsidRPr="007F759A" w:rsidRDefault="001B55CD" w:rsidP="007F759A">
      <w:pPr>
        <w:rPr>
          <w:rFonts w:ascii="Arial" w:hAnsi="Arial" w:cs="Arial"/>
          <w:b/>
          <w:sz w:val="20"/>
          <w:szCs w:val="20"/>
          <w:u w:val="single"/>
        </w:rPr>
      </w:pPr>
      <w:r>
        <w:rPr>
          <w:rFonts w:ascii="Arial" w:hAnsi="Arial" w:cs="Arial"/>
          <w:b/>
          <w:sz w:val="20"/>
          <w:szCs w:val="20"/>
          <w:u w:val="single"/>
        </w:rPr>
        <w:t>Seznam poskytnut</w:t>
      </w:r>
      <w:r w:rsidR="007F759A" w:rsidRPr="007F759A">
        <w:rPr>
          <w:rFonts w:ascii="Arial" w:hAnsi="Arial" w:cs="Arial"/>
          <w:b/>
          <w:sz w:val="20"/>
          <w:szCs w:val="20"/>
          <w:u w:val="single"/>
        </w:rPr>
        <w:t>ých podkladů</w:t>
      </w:r>
    </w:p>
    <w:p w:rsidR="007F759A" w:rsidRPr="007F759A" w:rsidRDefault="007F759A" w:rsidP="007F759A">
      <w:pPr>
        <w:pStyle w:val="3"/>
        <w:spacing w:line="276" w:lineRule="auto"/>
        <w:rPr>
          <w:rFonts w:ascii="Arial" w:hAnsi="Arial" w:cs="Arial"/>
          <w:sz w:val="20"/>
          <w:szCs w:val="20"/>
        </w:rPr>
      </w:pPr>
      <w:r w:rsidRPr="007F759A">
        <w:rPr>
          <w:rFonts w:ascii="Arial" w:hAnsi="Arial" w:cs="Arial"/>
          <w:sz w:val="20"/>
          <w:szCs w:val="20"/>
        </w:rPr>
        <w:t>Přehledná situace</w:t>
      </w:r>
    </w:p>
    <w:p w:rsidR="007F759A" w:rsidRPr="007F759A" w:rsidRDefault="007F759A" w:rsidP="007F759A">
      <w:pPr>
        <w:rPr>
          <w:rFonts w:ascii="Arial" w:hAnsi="Arial" w:cs="Arial"/>
          <w:sz w:val="20"/>
          <w:szCs w:val="20"/>
        </w:rPr>
      </w:pPr>
      <w:r w:rsidRPr="007F759A">
        <w:rPr>
          <w:rFonts w:ascii="Arial" w:hAnsi="Arial" w:cs="Arial"/>
          <w:sz w:val="20"/>
          <w:szCs w:val="20"/>
        </w:rPr>
        <w:t>Mostní list mostu ev. č. 38714-4</w:t>
      </w:r>
    </w:p>
    <w:p w:rsidR="007F759A" w:rsidRPr="007F759A" w:rsidRDefault="007F759A" w:rsidP="007F759A">
      <w:pPr>
        <w:pStyle w:val="3"/>
        <w:rPr>
          <w:rFonts w:ascii="Arial" w:hAnsi="Arial" w:cs="Arial"/>
          <w:sz w:val="20"/>
          <w:szCs w:val="20"/>
        </w:rPr>
      </w:pPr>
      <w:r w:rsidRPr="007F759A">
        <w:rPr>
          <w:rFonts w:ascii="Arial" w:hAnsi="Arial" w:cs="Arial"/>
          <w:sz w:val="20"/>
          <w:szCs w:val="20"/>
        </w:rPr>
        <w:t>Poslední provedená hlavní mostní prohlídka mostu ev. č. 38714-4 je z 06/2024</w:t>
      </w:r>
    </w:p>
    <w:p w:rsidR="007F759A" w:rsidRDefault="007F759A" w:rsidP="007F759A">
      <w:pPr>
        <w:pStyle w:val="3"/>
        <w:rPr>
          <w:rFonts w:ascii="Arial" w:hAnsi="Arial" w:cs="Arial"/>
          <w:b/>
          <w:sz w:val="20"/>
          <w:szCs w:val="20"/>
          <w:u w:val="single"/>
        </w:rPr>
      </w:pPr>
    </w:p>
    <w:p w:rsidR="008B725E" w:rsidRPr="007F759A" w:rsidRDefault="008B725E" w:rsidP="007F759A">
      <w:pPr>
        <w:pStyle w:val="3"/>
        <w:rPr>
          <w:rFonts w:ascii="Arial" w:hAnsi="Arial" w:cs="Arial"/>
          <w:b/>
          <w:sz w:val="20"/>
          <w:szCs w:val="20"/>
          <w:u w:val="single"/>
        </w:rPr>
      </w:pPr>
      <w:bookmarkStart w:id="0" w:name="_GoBack"/>
      <w:bookmarkEnd w:id="0"/>
    </w:p>
    <w:p w:rsidR="007F759A" w:rsidRPr="007F759A" w:rsidRDefault="007F759A" w:rsidP="007F759A">
      <w:pPr>
        <w:rPr>
          <w:rFonts w:ascii="Arial" w:hAnsi="Arial" w:cs="Arial"/>
          <w:b/>
          <w:sz w:val="20"/>
          <w:szCs w:val="20"/>
          <w:u w:val="single"/>
        </w:rPr>
      </w:pPr>
      <w:r w:rsidRPr="007F759A">
        <w:rPr>
          <w:rFonts w:ascii="Arial" w:hAnsi="Arial" w:cs="Arial"/>
          <w:b/>
          <w:sz w:val="20"/>
          <w:szCs w:val="20"/>
          <w:u w:val="single"/>
        </w:rPr>
        <w:t>Lhůty plnění</w:t>
      </w:r>
    </w:p>
    <w:p w:rsidR="007F759A" w:rsidRPr="007F759A" w:rsidRDefault="007F759A" w:rsidP="007F759A">
      <w:pPr>
        <w:overflowPunct w:val="0"/>
        <w:autoSpaceDE w:val="0"/>
        <w:autoSpaceDN w:val="0"/>
        <w:adjustRightInd w:val="0"/>
        <w:spacing w:after="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Zahájení realizace:</w:t>
      </w:r>
      <w:r w:rsidRPr="007F759A">
        <w:rPr>
          <w:rFonts w:ascii="Arial" w:eastAsia="Times New Roman" w:hAnsi="Arial" w:cs="Arial"/>
          <w:sz w:val="20"/>
          <w:szCs w:val="20"/>
          <w:lang w:eastAsia="cs-CZ"/>
        </w:rPr>
        <w:tab/>
      </w:r>
      <w:r w:rsidRPr="007F759A">
        <w:rPr>
          <w:rFonts w:ascii="Arial" w:eastAsia="Times New Roman" w:hAnsi="Arial" w:cs="Arial"/>
          <w:sz w:val="20"/>
          <w:szCs w:val="20"/>
          <w:lang w:eastAsia="cs-CZ"/>
        </w:rPr>
        <w:tab/>
      </w:r>
      <w:r w:rsidRPr="007F759A">
        <w:rPr>
          <w:rFonts w:ascii="Arial" w:eastAsia="Times New Roman" w:hAnsi="Arial" w:cs="Arial"/>
          <w:sz w:val="20"/>
          <w:szCs w:val="20"/>
          <w:lang w:eastAsia="cs-CZ"/>
        </w:rPr>
        <w:tab/>
      </w:r>
      <w:r w:rsidRPr="007F759A">
        <w:rPr>
          <w:rFonts w:ascii="Arial" w:eastAsia="Times New Roman" w:hAnsi="Arial" w:cs="Arial"/>
          <w:sz w:val="20"/>
          <w:szCs w:val="20"/>
          <w:lang w:eastAsia="cs-CZ"/>
        </w:rPr>
        <w:tab/>
      </w:r>
      <w:r w:rsidRPr="007F759A">
        <w:rPr>
          <w:rFonts w:ascii="Arial" w:eastAsia="Times New Roman" w:hAnsi="Arial" w:cs="Arial"/>
          <w:sz w:val="20"/>
          <w:szCs w:val="20"/>
          <w:lang w:eastAsia="cs-CZ"/>
        </w:rPr>
        <w:tab/>
        <w:t xml:space="preserve">   ihned po nabytí účinnosti smlouvy</w:t>
      </w:r>
    </w:p>
    <w:p w:rsidR="007F759A" w:rsidRPr="007F759A" w:rsidRDefault="007F759A" w:rsidP="007F759A">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IGP průzkum a návrh technického řešení</w:t>
      </w:r>
      <w:r w:rsidRPr="007F759A">
        <w:rPr>
          <w:rFonts w:ascii="Arial" w:eastAsia="Times New Roman" w:hAnsi="Arial" w:cs="Arial"/>
          <w:sz w:val="20"/>
          <w:szCs w:val="20"/>
          <w:lang w:eastAsia="cs-CZ"/>
        </w:rPr>
        <w:tab/>
        <w:t xml:space="preserve">   do 90 dnů od nabytí účinnosti smlouvy</w:t>
      </w:r>
    </w:p>
    <w:p w:rsidR="007F759A" w:rsidRPr="007F759A" w:rsidRDefault="007F759A" w:rsidP="007F759A">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Dokumentace DPS (koncept)</w:t>
      </w:r>
      <w:r w:rsidRPr="007F759A">
        <w:rPr>
          <w:rFonts w:ascii="Arial" w:eastAsia="Times New Roman" w:hAnsi="Arial" w:cs="Arial"/>
          <w:sz w:val="20"/>
          <w:szCs w:val="20"/>
          <w:lang w:eastAsia="cs-CZ"/>
        </w:rPr>
        <w:tab/>
        <w:t xml:space="preserve">   do 150 dnů od nabytí účinnosti smlouvy</w:t>
      </w:r>
    </w:p>
    <w:p w:rsidR="007F759A" w:rsidRPr="007F759A" w:rsidRDefault="007F759A" w:rsidP="007F759A">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 xml:space="preserve">Dokumentace DPS (čistopis, včetně IČ a </w:t>
      </w:r>
    </w:p>
    <w:p w:rsidR="007F759A" w:rsidRPr="007F759A" w:rsidRDefault="007F759A" w:rsidP="007F759A">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projednání s DOSS, odsouhlasený objednatelem)</w:t>
      </w:r>
      <w:r w:rsidRPr="007F759A">
        <w:rPr>
          <w:rFonts w:ascii="Arial" w:eastAsia="Times New Roman" w:hAnsi="Arial" w:cs="Arial"/>
          <w:sz w:val="20"/>
          <w:szCs w:val="20"/>
          <w:lang w:eastAsia="cs-CZ"/>
        </w:rPr>
        <w:tab/>
        <w:t xml:space="preserve">   do 60 dnů od předání konceptu DPS</w:t>
      </w:r>
    </w:p>
    <w:p w:rsidR="007F759A" w:rsidRPr="007F759A" w:rsidRDefault="007F759A" w:rsidP="007F759A">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Podání žádosti pro povolení stavebního záměru</w:t>
      </w:r>
    </w:p>
    <w:p w:rsidR="007F759A" w:rsidRPr="007F759A" w:rsidRDefault="007F759A" w:rsidP="007F759A">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ab/>
        <w:t xml:space="preserve">   do 30 dnů od dokončení IČ, nebo do 30     </w:t>
      </w:r>
    </w:p>
    <w:p w:rsidR="007F759A" w:rsidRPr="007F759A" w:rsidRDefault="007F759A" w:rsidP="007F759A">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 xml:space="preserve">                                                                                     dnů od předání DPS</w:t>
      </w:r>
    </w:p>
    <w:p w:rsidR="007F759A" w:rsidRPr="007F759A" w:rsidRDefault="007F759A" w:rsidP="007F759A">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 xml:space="preserve">Dokumentace PDPS (čistopis, včetně </w:t>
      </w:r>
    </w:p>
    <w:p w:rsidR="007F759A" w:rsidRPr="007F759A" w:rsidRDefault="007F759A" w:rsidP="007F759A">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 xml:space="preserve">zapracování případných připomínek </w:t>
      </w:r>
    </w:p>
    <w:p w:rsidR="007F759A" w:rsidRPr="007F759A" w:rsidRDefault="007F759A" w:rsidP="007F759A">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ze stavebního řízení a včetně soupisů prací,</w:t>
      </w:r>
    </w:p>
    <w:p w:rsidR="007F759A" w:rsidRPr="007F759A" w:rsidRDefault="007F759A" w:rsidP="007F759A">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odsouhlasený objednatelem)</w:t>
      </w:r>
      <w:r w:rsidRPr="007F759A">
        <w:rPr>
          <w:rFonts w:ascii="Arial" w:eastAsia="Times New Roman" w:hAnsi="Arial" w:cs="Arial"/>
          <w:sz w:val="20"/>
          <w:szCs w:val="20"/>
          <w:lang w:eastAsia="cs-CZ"/>
        </w:rPr>
        <w:tab/>
        <w:t xml:space="preserve">   do 60 dnů od vydání pravomocného </w:t>
      </w:r>
    </w:p>
    <w:p w:rsidR="007F759A" w:rsidRPr="007F759A" w:rsidRDefault="007F759A" w:rsidP="007F759A">
      <w:pPr>
        <w:overflowPunct w:val="0"/>
        <w:autoSpaceDE w:val="0"/>
        <w:autoSpaceDN w:val="0"/>
        <w:adjustRightInd w:val="0"/>
        <w:spacing w:after="0"/>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 xml:space="preserve">                                                                                     PS stavebním úřadem</w:t>
      </w:r>
    </w:p>
    <w:p w:rsidR="007F759A" w:rsidRPr="007F759A" w:rsidRDefault="007F759A" w:rsidP="007F759A">
      <w:pPr>
        <w:overflowPunct w:val="0"/>
        <w:autoSpaceDE w:val="0"/>
        <w:autoSpaceDN w:val="0"/>
        <w:adjustRightInd w:val="0"/>
        <w:spacing w:before="240" w:after="120" w:line="240" w:lineRule="auto"/>
        <w:ind w:left="4950" w:hanging="4950"/>
        <w:textAlignment w:val="baseline"/>
        <w:rPr>
          <w:rFonts w:ascii="Arial" w:eastAsia="Times New Roman" w:hAnsi="Arial" w:cs="Arial"/>
          <w:sz w:val="20"/>
          <w:szCs w:val="20"/>
          <w:lang w:eastAsia="cs-CZ"/>
        </w:rPr>
      </w:pPr>
      <w:r w:rsidRPr="007F759A">
        <w:rPr>
          <w:rFonts w:ascii="Arial" w:eastAsia="Times New Roman" w:hAnsi="Arial" w:cs="Arial"/>
          <w:sz w:val="20"/>
          <w:szCs w:val="20"/>
          <w:lang w:eastAsia="cs-CZ"/>
        </w:rPr>
        <w:t>Předpoklad zahájení výkonu autorského dozoru</w:t>
      </w:r>
      <w:r w:rsidRPr="007F759A">
        <w:rPr>
          <w:rFonts w:ascii="Arial" w:eastAsia="Times New Roman" w:hAnsi="Arial" w:cs="Arial"/>
          <w:sz w:val="20"/>
          <w:szCs w:val="20"/>
          <w:lang w:eastAsia="cs-CZ"/>
        </w:rPr>
        <w:tab/>
        <w:t xml:space="preserve">  do 60 měsíců od vydání pravomocného                                                                 povolení stavby</w:t>
      </w:r>
      <w:r w:rsidRPr="007F759A">
        <w:rPr>
          <w:rFonts w:ascii="Arial" w:eastAsia="Times New Roman" w:hAnsi="Arial" w:cs="Arial"/>
          <w:sz w:val="20"/>
          <w:szCs w:val="20"/>
          <w:lang w:eastAsia="cs-CZ"/>
        </w:rPr>
        <w:tab/>
      </w:r>
    </w:p>
    <w:p w:rsidR="007F759A" w:rsidRPr="007F759A" w:rsidRDefault="007F759A" w:rsidP="007F759A">
      <w:pPr>
        <w:overflowPunct w:val="0"/>
        <w:autoSpaceDE w:val="0"/>
        <w:autoSpaceDN w:val="0"/>
        <w:adjustRightInd w:val="0"/>
        <w:spacing w:before="240" w:after="120" w:line="240" w:lineRule="auto"/>
        <w:ind w:left="4245" w:hanging="4245"/>
        <w:textAlignment w:val="baseline"/>
        <w:rPr>
          <w:rFonts w:ascii="Arial" w:eastAsia="Times New Roman" w:hAnsi="Arial" w:cs="Arial"/>
          <w:sz w:val="20"/>
          <w:szCs w:val="20"/>
          <w:lang w:eastAsia="cs-CZ"/>
        </w:rPr>
      </w:pPr>
    </w:p>
    <w:p w:rsidR="00F16ACF" w:rsidRPr="007F759A" w:rsidRDefault="00F16ACF" w:rsidP="007F759A">
      <w:pPr>
        <w:tabs>
          <w:tab w:val="left" w:pos="993"/>
        </w:tabs>
        <w:spacing w:before="240" w:after="120"/>
        <w:jc w:val="both"/>
        <w:rPr>
          <w:rFonts w:ascii="Arial" w:eastAsia="Times New Roman" w:hAnsi="Arial" w:cs="Arial"/>
          <w:sz w:val="20"/>
          <w:szCs w:val="20"/>
          <w:lang w:eastAsia="cs-CZ"/>
        </w:rPr>
      </w:pPr>
    </w:p>
    <w:sectPr w:rsidR="00F16ACF" w:rsidRPr="007F759A" w:rsidSect="0034703B">
      <w:headerReference w:type="default" r:id="rId8"/>
      <w:footerReference w:type="default" r:id="rId9"/>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8B725E">
      <w:rPr>
        <w:rFonts w:ascii="Arial" w:hAnsi="Arial" w:cs="Arial"/>
        <w:b/>
        <w:noProof/>
        <w:sz w:val="16"/>
        <w:szCs w:val="16"/>
      </w:rPr>
      <w:t>7</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8B725E">
      <w:rPr>
        <w:rFonts w:ascii="Arial" w:hAnsi="Arial" w:cs="Arial"/>
        <w:b/>
        <w:noProof/>
        <w:sz w:val="16"/>
        <w:szCs w:val="16"/>
      </w:rPr>
      <w:t>8</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5AD99DA6" wp14:editId="6981C4CA">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671991"/>
    <w:multiLevelType w:val="hybridMultilevel"/>
    <w:tmpl w:val="1F3C9962"/>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F669AF"/>
    <w:multiLevelType w:val="hybridMultilevel"/>
    <w:tmpl w:val="3CCE22C4"/>
    <w:lvl w:ilvl="0" w:tplc="7310BDE2">
      <w:numFmt w:val="bullet"/>
      <w:lvlText w:val="-"/>
      <w:lvlJc w:val="left"/>
      <w:pPr>
        <w:ind w:left="720" w:hanging="360"/>
      </w:pPr>
      <w:rPr>
        <w:rFonts w:ascii="Times New Roman" w:eastAsia="Times New Roman" w:hAnsi="Times New Roman" w:cs="Times New Roman"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0"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0"/>
  </w:num>
  <w:num w:numId="4">
    <w:abstractNumId w:val="15"/>
  </w:num>
  <w:num w:numId="5">
    <w:abstractNumId w:val="10"/>
  </w:num>
  <w:num w:numId="6">
    <w:abstractNumId w:val="14"/>
  </w:num>
  <w:num w:numId="7">
    <w:abstractNumId w:val="12"/>
  </w:num>
  <w:num w:numId="8">
    <w:abstractNumId w:val="5"/>
  </w:num>
  <w:num w:numId="9">
    <w:abstractNumId w:val="11"/>
  </w:num>
  <w:num w:numId="10">
    <w:abstractNumId w:val="4"/>
  </w:num>
  <w:num w:numId="11">
    <w:abstractNumId w:val="6"/>
  </w:num>
  <w:num w:numId="12">
    <w:abstractNumId w:val="1"/>
  </w:num>
  <w:num w:numId="13">
    <w:abstractNumId w:val="7"/>
  </w:num>
  <w:num w:numId="14">
    <w:abstractNumId w:val="25"/>
  </w:num>
  <w:num w:numId="15">
    <w:abstractNumId w:val="21"/>
  </w:num>
  <w:num w:numId="16">
    <w:abstractNumId w:val="2"/>
  </w:num>
  <w:num w:numId="17">
    <w:abstractNumId w:val="8"/>
  </w:num>
  <w:num w:numId="18">
    <w:abstractNumId w:val="26"/>
  </w:num>
  <w:num w:numId="19">
    <w:abstractNumId w:val="20"/>
  </w:num>
  <w:num w:numId="20">
    <w:abstractNumId w:val="18"/>
  </w:num>
  <w:num w:numId="21">
    <w:abstractNumId w:val="3"/>
  </w:num>
  <w:num w:numId="22">
    <w:abstractNumId w:val="22"/>
  </w:num>
  <w:num w:numId="23">
    <w:abstractNumId w:val="19"/>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2"/>
  </w:num>
  <w:num w:numId="27">
    <w:abstractNumId w:val="23"/>
  </w:num>
  <w:num w:numId="28">
    <w:abstractNumId w:val="22"/>
  </w:num>
  <w:num w:numId="29">
    <w:abstractNumId w:val="16"/>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EC2"/>
    <w:rsid w:val="00006F34"/>
    <w:rsid w:val="00031B59"/>
    <w:rsid w:val="00032DF2"/>
    <w:rsid w:val="00033EC2"/>
    <w:rsid w:val="00077603"/>
    <w:rsid w:val="00085A7A"/>
    <w:rsid w:val="00087015"/>
    <w:rsid w:val="00091A0B"/>
    <w:rsid w:val="000A7C29"/>
    <w:rsid w:val="000F7568"/>
    <w:rsid w:val="00105330"/>
    <w:rsid w:val="001310C6"/>
    <w:rsid w:val="00143858"/>
    <w:rsid w:val="00150F88"/>
    <w:rsid w:val="0016103B"/>
    <w:rsid w:val="00167A1E"/>
    <w:rsid w:val="00172C17"/>
    <w:rsid w:val="00174D7F"/>
    <w:rsid w:val="0018382D"/>
    <w:rsid w:val="001B46DA"/>
    <w:rsid w:val="001B55CD"/>
    <w:rsid w:val="001C3BF8"/>
    <w:rsid w:val="001C4EBD"/>
    <w:rsid w:val="001C7DD6"/>
    <w:rsid w:val="001E3591"/>
    <w:rsid w:val="001E3B69"/>
    <w:rsid w:val="001F1E8D"/>
    <w:rsid w:val="00201C8A"/>
    <w:rsid w:val="00206A81"/>
    <w:rsid w:val="0021028E"/>
    <w:rsid w:val="00227F69"/>
    <w:rsid w:val="00245CC3"/>
    <w:rsid w:val="0024717C"/>
    <w:rsid w:val="002505CD"/>
    <w:rsid w:val="00264E92"/>
    <w:rsid w:val="002715B4"/>
    <w:rsid w:val="002819DD"/>
    <w:rsid w:val="00294439"/>
    <w:rsid w:val="00295481"/>
    <w:rsid w:val="002A2808"/>
    <w:rsid w:val="002A70F8"/>
    <w:rsid w:val="002B7C5F"/>
    <w:rsid w:val="002C6714"/>
    <w:rsid w:val="002D116F"/>
    <w:rsid w:val="002D2AC8"/>
    <w:rsid w:val="002D3495"/>
    <w:rsid w:val="00322187"/>
    <w:rsid w:val="00335791"/>
    <w:rsid w:val="0034703B"/>
    <w:rsid w:val="00355D64"/>
    <w:rsid w:val="003634A2"/>
    <w:rsid w:val="003A6635"/>
    <w:rsid w:val="003B523E"/>
    <w:rsid w:val="003C0016"/>
    <w:rsid w:val="003C5BC7"/>
    <w:rsid w:val="003D36F1"/>
    <w:rsid w:val="00405F21"/>
    <w:rsid w:val="00413BFA"/>
    <w:rsid w:val="0043662A"/>
    <w:rsid w:val="00437E4E"/>
    <w:rsid w:val="00487EB6"/>
    <w:rsid w:val="004B1D1B"/>
    <w:rsid w:val="004B2925"/>
    <w:rsid w:val="004B3A5B"/>
    <w:rsid w:val="004B4D66"/>
    <w:rsid w:val="004C2E7C"/>
    <w:rsid w:val="004C3D34"/>
    <w:rsid w:val="004E26C7"/>
    <w:rsid w:val="004F4618"/>
    <w:rsid w:val="005252AA"/>
    <w:rsid w:val="0052571B"/>
    <w:rsid w:val="005562DB"/>
    <w:rsid w:val="00564C9E"/>
    <w:rsid w:val="005655EF"/>
    <w:rsid w:val="00575531"/>
    <w:rsid w:val="00580C51"/>
    <w:rsid w:val="005875BA"/>
    <w:rsid w:val="005A2999"/>
    <w:rsid w:val="005E469A"/>
    <w:rsid w:val="005E5229"/>
    <w:rsid w:val="005E59F4"/>
    <w:rsid w:val="00605337"/>
    <w:rsid w:val="0060692D"/>
    <w:rsid w:val="00627D75"/>
    <w:rsid w:val="00633927"/>
    <w:rsid w:val="00635E1D"/>
    <w:rsid w:val="00651DA9"/>
    <w:rsid w:val="00651F7A"/>
    <w:rsid w:val="00660B95"/>
    <w:rsid w:val="006679C4"/>
    <w:rsid w:val="00683DAC"/>
    <w:rsid w:val="006916B1"/>
    <w:rsid w:val="006A0285"/>
    <w:rsid w:val="006A3AD9"/>
    <w:rsid w:val="006E18CA"/>
    <w:rsid w:val="006F0BDA"/>
    <w:rsid w:val="00723546"/>
    <w:rsid w:val="007349F9"/>
    <w:rsid w:val="00745A6C"/>
    <w:rsid w:val="007462B8"/>
    <w:rsid w:val="007524A0"/>
    <w:rsid w:val="00756EC0"/>
    <w:rsid w:val="0076591D"/>
    <w:rsid w:val="00771D72"/>
    <w:rsid w:val="00781C90"/>
    <w:rsid w:val="00794F75"/>
    <w:rsid w:val="007C1522"/>
    <w:rsid w:val="007D1374"/>
    <w:rsid w:val="007E6FEB"/>
    <w:rsid w:val="007F411D"/>
    <w:rsid w:val="007F463F"/>
    <w:rsid w:val="007F759A"/>
    <w:rsid w:val="008023D2"/>
    <w:rsid w:val="00817C5F"/>
    <w:rsid w:val="008209FA"/>
    <w:rsid w:val="00844B90"/>
    <w:rsid w:val="0085017D"/>
    <w:rsid w:val="008661DA"/>
    <w:rsid w:val="008742AE"/>
    <w:rsid w:val="0088350B"/>
    <w:rsid w:val="00884EBA"/>
    <w:rsid w:val="008B2E01"/>
    <w:rsid w:val="008B37FB"/>
    <w:rsid w:val="008B5E8C"/>
    <w:rsid w:val="008B725E"/>
    <w:rsid w:val="008D4372"/>
    <w:rsid w:val="008E5B75"/>
    <w:rsid w:val="008F1380"/>
    <w:rsid w:val="008F2428"/>
    <w:rsid w:val="008F6E44"/>
    <w:rsid w:val="00903D67"/>
    <w:rsid w:val="009153D3"/>
    <w:rsid w:val="009333EF"/>
    <w:rsid w:val="00946275"/>
    <w:rsid w:val="009470C5"/>
    <w:rsid w:val="00955CD4"/>
    <w:rsid w:val="0095682B"/>
    <w:rsid w:val="00966055"/>
    <w:rsid w:val="00972FC3"/>
    <w:rsid w:val="00981014"/>
    <w:rsid w:val="009B0C47"/>
    <w:rsid w:val="009B37C8"/>
    <w:rsid w:val="009E5449"/>
    <w:rsid w:val="00A02A92"/>
    <w:rsid w:val="00A02C1A"/>
    <w:rsid w:val="00A111D2"/>
    <w:rsid w:val="00A258B6"/>
    <w:rsid w:val="00A44DF5"/>
    <w:rsid w:val="00A56428"/>
    <w:rsid w:val="00A63D56"/>
    <w:rsid w:val="00A93CA0"/>
    <w:rsid w:val="00AA21EC"/>
    <w:rsid w:val="00AA3034"/>
    <w:rsid w:val="00AA42F6"/>
    <w:rsid w:val="00AA76D7"/>
    <w:rsid w:val="00AB286A"/>
    <w:rsid w:val="00AB312E"/>
    <w:rsid w:val="00AC3FE3"/>
    <w:rsid w:val="00AC4AB1"/>
    <w:rsid w:val="00AF5D3F"/>
    <w:rsid w:val="00B0273E"/>
    <w:rsid w:val="00B13108"/>
    <w:rsid w:val="00B31119"/>
    <w:rsid w:val="00B3596C"/>
    <w:rsid w:val="00B41130"/>
    <w:rsid w:val="00B4147B"/>
    <w:rsid w:val="00B4322A"/>
    <w:rsid w:val="00B44286"/>
    <w:rsid w:val="00B545BC"/>
    <w:rsid w:val="00B64492"/>
    <w:rsid w:val="00B72CB0"/>
    <w:rsid w:val="00BA0515"/>
    <w:rsid w:val="00BC0045"/>
    <w:rsid w:val="00BD08E8"/>
    <w:rsid w:val="00BE3B79"/>
    <w:rsid w:val="00BF4D4C"/>
    <w:rsid w:val="00C040A0"/>
    <w:rsid w:val="00C0508D"/>
    <w:rsid w:val="00C25DCD"/>
    <w:rsid w:val="00C34F5B"/>
    <w:rsid w:val="00C52667"/>
    <w:rsid w:val="00C65520"/>
    <w:rsid w:val="00CB1CE3"/>
    <w:rsid w:val="00CD6C0B"/>
    <w:rsid w:val="00CF3EA0"/>
    <w:rsid w:val="00D1051F"/>
    <w:rsid w:val="00D21DBE"/>
    <w:rsid w:val="00D24A4F"/>
    <w:rsid w:val="00D27F79"/>
    <w:rsid w:val="00D674D6"/>
    <w:rsid w:val="00D83014"/>
    <w:rsid w:val="00D9018D"/>
    <w:rsid w:val="00DA5742"/>
    <w:rsid w:val="00DE107F"/>
    <w:rsid w:val="00DF3229"/>
    <w:rsid w:val="00E02F34"/>
    <w:rsid w:val="00E07484"/>
    <w:rsid w:val="00E12753"/>
    <w:rsid w:val="00E26473"/>
    <w:rsid w:val="00E336FE"/>
    <w:rsid w:val="00E36ADA"/>
    <w:rsid w:val="00EA03AD"/>
    <w:rsid w:val="00EC5DCC"/>
    <w:rsid w:val="00ED28F8"/>
    <w:rsid w:val="00ED43D1"/>
    <w:rsid w:val="00EE2E2A"/>
    <w:rsid w:val="00F06AAB"/>
    <w:rsid w:val="00F11900"/>
    <w:rsid w:val="00F15CA5"/>
    <w:rsid w:val="00F16ACF"/>
    <w:rsid w:val="00F230F4"/>
    <w:rsid w:val="00F27557"/>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70EB9DE"/>
  <w15:docId w15:val="{3A5B79D7-6C36-4A55-BC0F-7F6545C1B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BC0045"/>
    <w:rPr>
      <w:color w:val="0000FF"/>
      <w:u w:val="single"/>
    </w:rPr>
  </w:style>
  <w:style w:type="paragraph" w:styleId="Prosttext">
    <w:name w:val="Plain Text"/>
    <w:basedOn w:val="Normln"/>
    <w:link w:val="ProsttextChar"/>
    <w:uiPriority w:val="99"/>
    <w:unhideWhenUsed/>
    <w:rsid w:val="00AB312E"/>
    <w:pPr>
      <w:spacing w:after="0" w:line="240" w:lineRule="auto"/>
    </w:pPr>
    <w:rPr>
      <w:rFonts w:eastAsiaTheme="minorHAnsi" w:cstheme="minorBidi"/>
      <w:szCs w:val="21"/>
    </w:rPr>
  </w:style>
  <w:style w:type="character" w:customStyle="1" w:styleId="ProsttextChar">
    <w:name w:val="Prostý text Char"/>
    <w:basedOn w:val="Standardnpsmoodstavce"/>
    <w:link w:val="Prosttext"/>
    <w:uiPriority w:val="99"/>
    <w:rsid w:val="00AB312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xc4.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8</Pages>
  <Words>3757</Words>
  <Characters>22167</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Huryová Pavlína</cp:lastModifiedBy>
  <cp:revision>40</cp:revision>
  <cp:lastPrinted>2024-04-18T12:32:00Z</cp:lastPrinted>
  <dcterms:created xsi:type="dcterms:W3CDTF">2024-07-19T07:39:00Z</dcterms:created>
  <dcterms:modified xsi:type="dcterms:W3CDTF">2025-02-24T07:45:00Z</dcterms:modified>
</cp:coreProperties>
</file>