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DE56A6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DE56A6" w:rsidRDefault="00E02F34" w:rsidP="00DE56A6">
            <w:pPr>
              <w:pStyle w:val="Nzev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6A6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DE56A6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DE56A6">
              <w:rPr>
                <w:rFonts w:ascii="Arial" w:hAnsi="Arial" w:cs="Arial"/>
                <w:sz w:val="20"/>
                <w:szCs w:val="20"/>
              </w:rPr>
              <w:t xml:space="preserve"> podmínky</w:t>
            </w:r>
          </w:p>
        </w:tc>
      </w:tr>
    </w:tbl>
    <w:p w:rsidR="00C052D9" w:rsidRPr="00DE56A6" w:rsidRDefault="00C052D9" w:rsidP="00DE56A6">
      <w:pPr>
        <w:tabs>
          <w:tab w:val="left" w:pos="1134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C052D9" w:rsidRPr="00DE56A6" w:rsidRDefault="00C052D9" w:rsidP="00DE56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DE56A6" w:rsidRPr="00DE56A6" w:rsidRDefault="00DE56A6" w:rsidP="00DE56A6">
      <w:pPr>
        <w:tabs>
          <w:tab w:val="left" w:pos="1134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/>
          <w:sz w:val="20"/>
          <w:szCs w:val="20"/>
          <w:lang w:eastAsia="cs-CZ"/>
        </w:rPr>
        <w:t>„III/1329 Žirovnice – most ev. č. 1329-1“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6A6">
        <w:rPr>
          <w:rFonts w:ascii="Arial" w:hAnsi="Arial" w:cs="Arial"/>
          <w:sz w:val="20"/>
          <w:szCs w:val="20"/>
        </w:rPr>
        <w:t>Most převádí silnici III/1329 přes stávající koryto Počáteckého potoka (správce Povodí Vltavy s. p.). Stávající silnice III/1329 je regionální spojnicí města Žirovnice a obce Stojčín.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Předmětem akce je přebudování vlastního mostu a navazujících úseků silnice, tedy veškeré práce a činnosti nespecifikované v ostatních stavebních objektech (jednoznačně stavebně a technologicky daných). Celková délka úpravy silnice III/1329 je 44,00 m (včetně mostu).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</w:p>
    <w:p w:rsidR="00DE56A6" w:rsidRPr="00DE56A6" w:rsidRDefault="00DE56A6" w:rsidP="00DE56A6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SO 001 Demolice stávajícího mostu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Demolice původního mostu bude zahájena po převedení veškeré silniční dopravy na objízdnou trasu po okolních komunikacích, a to bezprostředně před zahájením výstavby nové mostní konstrukce. 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Postup prací je navržen takto: příprava území, vytýčení a zřetelné označení všech inženýrských sítí jejich správci, demontáž svislého dopravního značení - tabulek s ev. čísly mostu, označníku autobusové zastávky, </w:t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odhumusování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 ploch využitých pro výstavbu, osazení dopravního značení, převedení dopravy na objízdnou trasu, odfrézování AB vrstev, odstranění podkladních vrstev vozovky, demontáž ocelového svodidla, odtěžení </w:t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nadnásypu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, odbourání říms a nosné konstrukce mostu – železobeton, vybourání opěr a křídel – monolitický beton, vybourání základů – monolitický beton.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</w:p>
    <w:p w:rsidR="00DE56A6" w:rsidRPr="00DE56A6" w:rsidRDefault="00DE56A6" w:rsidP="00DE56A6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SO 201 Most ev. č. 41020-1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Jedná se o most pro převedení silnice III/1329 přes Počátecký potok, stávající směrové, výškové i šířkové řešení silnice je zachováno, změny proti stávajícímu stavu (mírné navýšení nivelety v místě mostu) jsou dány vyhlazením nivelety. Nový most je navržen pro převedení silnice S7,5/50, šířka zpevněné části komunikace je 6,50 m. Na mostě bude volná šířka mezi svodidly 7,50 m. Jde o přesypaný monolitický ŽB deskový rám, doplněn svahovými křídly. Na vtoku bude na levobřežní křídlo navazovat kamenná zídka. Na výtoku navazuje pravobřežní křídlo na kamennou nábřežní zídku. Most je v celé délce směrově v přímé, se střechovitým konstantním příčným sklonem 2,5%. Podélný spád nivelety v místě mostu je 1%. Založení se předpokládá plošné, na sanačním štěrkopískovém polštáři. Na obou okrajích mostu (portálech) bude osazeno ocelové </w:t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dvoumadlové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 zábradlí. Dno koryta pod mostem a v jeho bezprostřední blízkosti bude opevněno dlažbou z lomového kamene do betonu v celkové minimální tloušťce 300 mm. Opevnění je ukončeno příčnými prahy. Na vtokové straně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mostu bude zřízeno obslužné </w:t>
      </w:r>
      <w:proofErr w:type="gram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schodiště š.750</w:t>
      </w:r>
      <w:proofErr w:type="gram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 mm. Bude tvořeno betonovými </w:t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refabrikovanými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 stupni v loži z betonu, lemovanými betonovými chodníkovými obrubníky. V rámci akce nebudou prováděny žádné zásahy do stávajících inženýrských sítí s výjimkou prodloužení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stávající dešťové kanalizace DN400 v pravém břehu. V rámci stavby bude vyznačena provizorní </w:t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obchozí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 trasa. Provizorní trasa bude vedena na pravé straně silnice III/1329. Provizorní trasa bude vedena po schodišti, rampách a staveništní lávce. Volná šířka lávky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1,50 m, zábradlí výšky 1,3 m (s výplní pletivem). Rampa a schodiště budou dřevěné konstrukce, zábradlí výšky 1,10 m.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u w:val="single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u w:val="single"/>
          <w:lang w:eastAsia="cs-CZ"/>
        </w:rPr>
        <w:t>Skladba vozovky na mostě i mimo most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- asfaltový beton </w:t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střednězrnný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 xml:space="preserve">ACO 11+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tl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. 40 mm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 xml:space="preserve">ČSN EN 13108-1 </w:t>
      </w:r>
      <w:proofErr w:type="gram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ED.2</w:t>
      </w:r>
      <w:proofErr w:type="gramEnd"/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- spojovací postřik </w:t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0,5 kg/m2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ČSN 736129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- asfaltový beton hrubozrnný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 xml:space="preserve">ACL 16+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tl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. 60 mm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 xml:space="preserve">ČSN EN 13108-1 </w:t>
      </w:r>
      <w:proofErr w:type="gram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ED.2</w:t>
      </w:r>
      <w:proofErr w:type="gramEnd"/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- spojovací postřik </w:t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0,5 kg/m2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ČSN 736129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- asfaltový beton hrubozrnný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 xml:space="preserve">ACP 16+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tl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. 50 mm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 xml:space="preserve">ČSN EN 13108-1 </w:t>
      </w:r>
      <w:proofErr w:type="gram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ED.2</w:t>
      </w:r>
      <w:proofErr w:type="gramEnd"/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- infiltrační postřik </w:t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1,00 kg/m2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ČSN 736129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- </w:t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štěrkodrť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 xml:space="preserve">ŠDA </w:t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tl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. 200 mm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 xml:space="preserve">ČSN EN 13285 </w:t>
      </w:r>
      <w:proofErr w:type="gram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ED.2</w:t>
      </w:r>
      <w:proofErr w:type="gramEnd"/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- mechanicky zpevněná zemina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 xml:space="preserve">MZ </w:t>
      </w:r>
      <w:proofErr w:type="gram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min.tl</w:t>
      </w:r>
      <w:proofErr w:type="gram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. 200 mm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 xml:space="preserve">ČSN EN 13285 </w:t>
      </w:r>
      <w:proofErr w:type="gram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ED.2</w:t>
      </w:r>
      <w:proofErr w:type="gramEnd"/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Celkem </w:t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tl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. 550 mm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u w:val="single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u w:val="single"/>
          <w:lang w:eastAsia="cs-CZ"/>
        </w:rPr>
        <w:t>Šířkové uspořádání na mostě je následující:</w:t>
      </w:r>
    </w:p>
    <w:p w:rsidR="00DE56A6" w:rsidRPr="00DE56A6" w:rsidRDefault="00304899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Římsa se zábradlím</w:t>
      </w:r>
      <w:r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DE56A6"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0,40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Odvodňovací žlábek</w:t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0,50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lastRenderedPageBreak/>
        <w:t>Svah násypového tělesa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2,65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Nezpevněná krajnice se silničním svodidlem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1,50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Zpevněná vozovka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3,25+3,25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Nezpevněná krajnice se silničním svodidlem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1,50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Svah násypového tělesa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2,95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Odvodňovací žlábek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0,50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Římsa se zábradlím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0,40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Šířka mostu celkem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16,90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Délka přemostění (čl. 60) v ose silnice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3,700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Délka mostu (čl. 61) v ose silnice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4,500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Úhel křížení (čl. 63)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100,0 g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Volná šířka mostu mezi líci svodidel (čl. 70)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7,50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Výška mostu (čl. 74) nade dnem v bodě křížení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="00304899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bookmarkStart w:id="0" w:name="_GoBack"/>
      <w:bookmarkEnd w:id="0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5,09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Stavební výška (čl. 75) uprostřed rozpětí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2,45 m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Plocha NK (kolmá délka NK x šířka NK): </w:t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</w: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ab/>
        <w:t>76,05 m2 (4,50 x 16,90)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SO chodníku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Společně s rekonstrukcí mostu proběhne i výstavba chodníků, jejichž investorem bude město Žirovnice.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</w:p>
    <w:p w:rsidR="00DE56A6" w:rsidRPr="00DE56A6" w:rsidRDefault="00DE56A6" w:rsidP="00DE56A6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Dopravně inženýrská opatření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Objízdná trasa pro tranzitní automobilovou dopravu a pro linkové autobusy (VLOD) bude vedena po stávající silnici Žirovnice – II/132 Počátky – III/13212 Stojčín.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Uzavírka si vyžádá dočasné přemístění zastávek </w:t>
      </w:r>
      <w:proofErr w:type="spellStart"/>
      <w:proofErr w:type="gram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Žirovnice,,Nový</w:t>
      </w:r>
      <w:proofErr w:type="spellEnd"/>
      <w:proofErr w:type="gram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 Svět,, a </w:t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Žirovnice,,Budín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,, které budou dočasně přemístěny na zastávku </w:t>
      </w:r>
      <w:proofErr w:type="spell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Žirovnice,,Počátecká</w:t>
      </w:r>
      <w:proofErr w:type="spell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. Délka objížďky: 6,5 km.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Dopravní úřad požaduje, aby žadatel o povolení uzavírky a nařízení objížďky předložil ve lhůtě minimálně 30 dnů před zahájením stavební akce žádost o souhlas s dočasným přemístěním zastávek. V současnosti provozuje veřejnou dopravu ICOM transport a.s.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Předpokládá se, že autobusy budou využívat stejnou objízdnou trasu jako IAD. Před zahájením stavby je třeba požádat dopravce a koordinátora VLOD o úpravu jízdních řádů.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</w:p>
    <w:p w:rsidR="00DE56A6" w:rsidRPr="00DE56A6" w:rsidRDefault="00DE56A6" w:rsidP="00DE56A6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Inženýrské sítě v prostoru staveniště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Po dobu stavebních prací budou stávající IS v zájmovém prostoru ochráněny: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1/ CETIN, a.s.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- metalický kabel v obvodu stavby, poloha kabelu byla vytyčena </w:t>
      </w:r>
      <w:proofErr w:type="gramStart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2.11.2020</w:t>
      </w:r>
      <w:proofErr w:type="gramEnd"/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 xml:space="preserve"> specialistou provozu sítě. Trasa vede v krajnici mezi asfaltovou vozovkou a svodidly (cca 300mm od svodidla) v hloubce 0,8m. Kabel bude ručně okopán, po dobu stavby ochráněn uložením do plastové chráničky a převeden přes výkopovou jámu.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2/ Krajská správa a údržba silnic Vysočiny, příspěvková organizace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Cs/>
          <w:iCs/>
          <w:sz w:val="20"/>
          <w:szCs w:val="20"/>
          <w:lang w:eastAsia="cs-CZ"/>
        </w:rPr>
        <w:t>- dešťová kanalizace DN400 (bude prodlouženo vyústění kanalizace do koryta toku, jinak bude ochráněna)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</w:p>
    <w:p w:rsidR="00DE56A6" w:rsidRPr="00DE56A6" w:rsidRDefault="00DE56A6" w:rsidP="00DE56A6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Geodetické podklady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DE56A6">
        <w:rPr>
          <w:rFonts w:ascii="Arial" w:eastAsia="Arial" w:hAnsi="Arial" w:cs="Arial"/>
          <w:bCs/>
          <w:sz w:val="20"/>
          <w:szCs w:val="20"/>
        </w:rPr>
        <w:t>Předmětem akce je i vyhotovení geodetické části dokumentace skutečného provedení stavby nebo geodetického podkladu pro vedení Digitální technické mapy, obsahující geometrické, polohové a výškové určení dokončené stavby nebo technologického zařízení. Bude vyhotoveno v souladu s § 5 a ve struktuře dle příloh č. 3 a 4 vyhlášky č. 393/2020 Sb., o digitální technické mapě (vyhláška DTM), v platném znění, v aktuálně platné verzi výměnného formátu dle § 6 vyhlášky DTM.</w:t>
      </w:r>
    </w:p>
    <w:p w:rsidR="00DE56A6" w:rsidRPr="00DE56A6" w:rsidRDefault="00DE56A6" w:rsidP="00DE56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  <w:highlight w:val="yellow"/>
        </w:rPr>
      </w:pPr>
    </w:p>
    <w:p w:rsidR="00DE56A6" w:rsidRPr="00DE56A6" w:rsidRDefault="00DE56A6" w:rsidP="00DE56A6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DE56A6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Zadávací podklady</w:t>
      </w:r>
    </w:p>
    <w:p w:rsidR="00DE56A6" w:rsidRPr="00DE56A6" w:rsidRDefault="00DE56A6" w:rsidP="00DE56A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DE56A6">
        <w:rPr>
          <w:rFonts w:ascii="Arial" w:eastAsia="Times New Roman" w:hAnsi="Arial" w:cs="Arial"/>
          <w:sz w:val="20"/>
          <w:szCs w:val="20"/>
          <w:lang w:eastAsia="cs-CZ"/>
        </w:rPr>
        <w:t xml:space="preserve">Požadavky na rekonstrukci mostu jsou specifikovány v projektové dokumentaci, kterou ve stupni DÚSP a PDPS, spolu se soupisem prací v programu ASPE, vypracoval Ing. Jan Pracný (ČKAIT 1000218), D-projekt, </w:t>
      </w:r>
      <w:proofErr w:type="spellStart"/>
      <w:r w:rsidRPr="00DE56A6">
        <w:rPr>
          <w:rFonts w:ascii="Arial" w:eastAsia="Times New Roman" w:hAnsi="Arial" w:cs="Arial"/>
          <w:sz w:val="20"/>
          <w:szCs w:val="20"/>
          <w:lang w:eastAsia="cs-CZ"/>
        </w:rPr>
        <w:t>Výholec</w:t>
      </w:r>
      <w:proofErr w:type="spellEnd"/>
      <w:r w:rsidRPr="00DE56A6">
        <w:rPr>
          <w:rFonts w:ascii="Arial" w:eastAsia="Times New Roman" w:hAnsi="Arial" w:cs="Arial"/>
          <w:sz w:val="20"/>
          <w:szCs w:val="20"/>
          <w:lang w:eastAsia="cs-CZ"/>
        </w:rPr>
        <w:t xml:space="preserve"> 23, 624 00 Brno, IČO 62087851.</w:t>
      </w:r>
    </w:p>
    <w:p w:rsidR="00DE56A6" w:rsidRPr="00DE56A6" w:rsidRDefault="00DE56A6" w:rsidP="00DE56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DE56A6" w:rsidRPr="00DE56A6" w:rsidRDefault="00DE56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DE56A6" w:rsidRPr="00DE56A6" w:rsidSect="004F4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D7" w:rsidRDefault="00B477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304899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304899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D7" w:rsidRDefault="00B477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D7" w:rsidRDefault="00B477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B477D7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D7" w:rsidRDefault="00B477D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1C02"/>
    <w:multiLevelType w:val="hybridMultilevel"/>
    <w:tmpl w:val="03264566"/>
    <w:lvl w:ilvl="0" w:tplc="2444B4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1966"/>
    <w:multiLevelType w:val="hybridMultilevel"/>
    <w:tmpl w:val="05D87B0E"/>
    <w:lvl w:ilvl="0" w:tplc="D99EFAC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D54AB"/>
    <w:multiLevelType w:val="hybridMultilevel"/>
    <w:tmpl w:val="B9EE7D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14A27"/>
    <w:multiLevelType w:val="hybridMultilevel"/>
    <w:tmpl w:val="0CBA7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A782D"/>
    <w:multiLevelType w:val="hybridMultilevel"/>
    <w:tmpl w:val="5860EF6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0"/>
  </w:num>
  <w:num w:numId="4">
    <w:abstractNumId w:val="16"/>
  </w:num>
  <w:num w:numId="5">
    <w:abstractNumId w:val="11"/>
  </w:num>
  <w:num w:numId="6">
    <w:abstractNumId w:val="15"/>
  </w:num>
  <w:num w:numId="7">
    <w:abstractNumId w:val="14"/>
  </w:num>
  <w:num w:numId="8">
    <w:abstractNumId w:val="5"/>
  </w:num>
  <w:num w:numId="9">
    <w:abstractNumId w:val="13"/>
  </w:num>
  <w:num w:numId="10">
    <w:abstractNumId w:val="4"/>
  </w:num>
  <w:num w:numId="11">
    <w:abstractNumId w:val="6"/>
  </w:num>
  <w:num w:numId="12">
    <w:abstractNumId w:val="2"/>
  </w:num>
  <w:num w:numId="13">
    <w:abstractNumId w:val="8"/>
  </w:num>
  <w:num w:numId="14">
    <w:abstractNumId w:val="20"/>
  </w:num>
  <w:num w:numId="15">
    <w:abstractNumId w:val="18"/>
  </w:num>
  <w:num w:numId="16">
    <w:abstractNumId w:val="3"/>
  </w:num>
  <w:num w:numId="17">
    <w:abstractNumId w:val="9"/>
  </w:num>
  <w:num w:numId="18">
    <w:abstractNumId w:val="21"/>
  </w:num>
  <w:num w:numId="19">
    <w:abstractNumId w:val="17"/>
  </w:num>
  <w:num w:numId="20">
    <w:abstractNumId w:val="7"/>
  </w:num>
  <w:num w:numId="21">
    <w:abstractNumId w:val="23"/>
  </w:num>
  <w:num w:numId="22">
    <w:abstractNumId w:val="1"/>
  </w:num>
  <w:num w:numId="23">
    <w:abstractNumId w:val="22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F25"/>
    <w:rsid w:val="00033EC2"/>
    <w:rsid w:val="00077603"/>
    <w:rsid w:val="000918AE"/>
    <w:rsid w:val="00091A0B"/>
    <w:rsid w:val="00100AEC"/>
    <w:rsid w:val="00105330"/>
    <w:rsid w:val="001310C6"/>
    <w:rsid w:val="00143858"/>
    <w:rsid w:val="00150F88"/>
    <w:rsid w:val="00160457"/>
    <w:rsid w:val="0016103B"/>
    <w:rsid w:val="00162E5A"/>
    <w:rsid w:val="00172C17"/>
    <w:rsid w:val="00174D7F"/>
    <w:rsid w:val="00186571"/>
    <w:rsid w:val="001A7272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50D78"/>
    <w:rsid w:val="002819DD"/>
    <w:rsid w:val="00294439"/>
    <w:rsid w:val="002A2808"/>
    <w:rsid w:val="002A70F8"/>
    <w:rsid w:val="002D116F"/>
    <w:rsid w:val="002D2AC8"/>
    <w:rsid w:val="00304899"/>
    <w:rsid w:val="00322187"/>
    <w:rsid w:val="00335791"/>
    <w:rsid w:val="003634A2"/>
    <w:rsid w:val="0036360F"/>
    <w:rsid w:val="003A6635"/>
    <w:rsid w:val="003B523E"/>
    <w:rsid w:val="003C0016"/>
    <w:rsid w:val="003D36F1"/>
    <w:rsid w:val="003E0D21"/>
    <w:rsid w:val="00405F21"/>
    <w:rsid w:val="00413BFA"/>
    <w:rsid w:val="0043662A"/>
    <w:rsid w:val="00437E4E"/>
    <w:rsid w:val="00487EB6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B380B"/>
    <w:rsid w:val="005C7610"/>
    <w:rsid w:val="005D4FF7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916B1"/>
    <w:rsid w:val="00693BE5"/>
    <w:rsid w:val="006A0285"/>
    <w:rsid w:val="006A3AD9"/>
    <w:rsid w:val="00723546"/>
    <w:rsid w:val="007349F9"/>
    <w:rsid w:val="00756EC0"/>
    <w:rsid w:val="0076591D"/>
    <w:rsid w:val="00771D72"/>
    <w:rsid w:val="007727C7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1C8E"/>
    <w:rsid w:val="009333EF"/>
    <w:rsid w:val="00946275"/>
    <w:rsid w:val="009470C5"/>
    <w:rsid w:val="00966055"/>
    <w:rsid w:val="00972FC3"/>
    <w:rsid w:val="00981014"/>
    <w:rsid w:val="009B0C47"/>
    <w:rsid w:val="009B37C8"/>
    <w:rsid w:val="009E5449"/>
    <w:rsid w:val="00A00298"/>
    <w:rsid w:val="00A02A92"/>
    <w:rsid w:val="00A02C1A"/>
    <w:rsid w:val="00A111D2"/>
    <w:rsid w:val="00A15654"/>
    <w:rsid w:val="00A258B6"/>
    <w:rsid w:val="00A44DF5"/>
    <w:rsid w:val="00A461E2"/>
    <w:rsid w:val="00A65A4A"/>
    <w:rsid w:val="00A93CA0"/>
    <w:rsid w:val="00AA21EC"/>
    <w:rsid w:val="00AA42F6"/>
    <w:rsid w:val="00AA76D7"/>
    <w:rsid w:val="00AF5D3F"/>
    <w:rsid w:val="00B0273E"/>
    <w:rsid w:val="00B31119"/>
    <w:rsid w:val="00B3596C"/>
    <w:rsid w:val="00B41130"/>
    <w:rsid w:val="00B4147B"/>
    <w:rsid w:val="00B4322A"/>
    <w:rsid w:val="00B44286"/>
    <w:rsid w:val="00B477D7"/>
    <w:rsid w:val="00B545BC"/>
    <w:rsid w:val="00B64492"/>
    <w:rsid w:val="00B72CB0"/>
    <w:rsid w:val="00BD08E8"/>
    <w:rsid w:val="00BF7F20"/>
    <w:rsid w:val="00C040A0"/>
    <w:rsid w:val="00C0508D"/>
    <w:rsid w:val="00C052D9"/>
    <w:rsid w:val="00C34F5B"/>
    <w:rsid w:val="00C52667"/>
    <w:rsid w:val="00C65520"/>
    <w:rsid w:val="00CB1CE3"/>
    <w:rsid w:val="00CE4F6E"/>
    <w:rsid w:val="00CF3EA0"/>
    <w:rsid w:val="00D1051F"/>
    <w:rsid w:val="00D21DBE"/>
    <w:rsid w:val="00D24A4F"/>
    <w:rsid w:val="00D44AAC"/>
    <w:rsid w:val="00D674D6"/>
    <w:rsid w:val="00D7653D"/>
    <w:rsid w:val="00D83014"/>
    <w:rsid w:val="00DA5742"/>
    <w:rsid w:val="00DE56A6"/>
    <w:rsid w:val="00E02F34"/>
    <w:rsid w:val="00E12753"/>
    <w:rsid w:val="00E26473"/>
    <w:rsid w:val="00E336FE"/>
    <w:rsid w:val="00E36ADA"/>
    <w:rsid w:val="00E4411A"/>
    <w:rsid w:val="00EA03AD"/>
    <w:rsid w:val="00EB5FFC"/>
    <w:rsid w:val="00EC5DCC"/>
    <w:rsid w:val="00ED28F8"/>
    <w:rsid w:val="00ED43D1"/>
    <w:rsid w:val="00EE2E2A"/>
    <w:rsid w:val="00F11900"/>
    <w:rsid w:val="00F14C3F"/>
    <w:rsid w:val="00F15CA5"/>
    <w:rsid w:val="00F22E46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2E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Zkladntext2">
    <w:name w:val="Základní text (2)_"/>
    <w:link w:val="Zkladntext20"/>
    <w:rsid w:val="00931C8E"/>
    <w:rPr>
      <w:rFonts w:ascii="Arial" w:eastAsia="Arial" w:hAnsi="Arial" w:cs="Arial"/>
      <w:shd w:val="clear" w:color="auto" w:fill="FFFFFF"/>
    </w:rPr>
  </w:style>
  <w:style w:type="character" w:customStyle="1" w:styleId="Nadpis1">
    <w:name w:val="Nadpis #1_"/>
    <w:link w:val="Nadpis10"/>
    <w:rsid w:val="00931C8E"/>
    <w:rPr>
      <w:rFonts w:ascii="Arial" w:eastAsia="Arial" w:hAnsi="Arial" w:cs="Arial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931C8E"/>
    <w:pPr>
      <w:widowControl w:val="0"/>
      <w:shd w:val="clear" w:color="auto" w:fill="FFFFFF"/>
      <w:spacing w:after="240" w:line="288" w:lineRule="exact"/>
      <w:jc w:val="both"/>
    </w:pPr>
    <w:rPr>
      <w:rFonts w:ascii="Arial" w:eastAsia="Arial" w:hAnsi="Arial" w:cs="Arial"/>
    </w:rPr>
  </w:style>
  <w:style w:type="paragraph" w:customStyle="1" w:styleId="Nadpis10">
    <w:name w:val="Nadpis #1"/>
    <w:basedOn w:val="Normln"/>
    <w:link w:val="Nadpis1"/>
    <w:rsid w:val="00931C8E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xmsonormal">
    <w:name w:val="x_msonormal"/>
    <w:basedOn w:val="Normln"/>
    <w:rsid w:val="00CE4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2E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99EB4-0791-4FAF-AABA-09789BDD6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954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51</cp:revision>
  <cp:lastPrinted>2021-10-13T06:50:00Z</cp:lastPrinted>
  <dcterms:created xsi:type="dcterms:W3CDTF">2020-01-14T13:40:00Z</dcterms:created>
  <dcterms:modified xsi:type="dcterms:W3CDTF">2025-04-10T13:06:00Z</dcterms:modified>
</cp:coreProperties>
</file>