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2A749955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CD1023">
        <w:rPr>
          <w:rFonts w:eastAsia="MS Mincho" w:cs="Arial"/>
          <w:b/>
          <w:szCs w:val="22"/>
        </w:rPr>
        <w:t>Horácké divadlo Jihlava – Výměna oken budovy C</w:t>
      </w:r>
      <w:bookmarkStart w:id="0" w:name="_GoBack"/>
      <w:bookmarkEnd w:id="0"/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3C3706A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CD1023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CD1023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1023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264F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32DF-23DD-4C12-85CA-506DA792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2025-05-26T09:59:00Z</dcterms:created>
  <dcterms:modified xsi:type="dcterms:W3CDTF">2025-05-26T09:59:00Z</dcterms:modified>
</cp:coreProperties>
</file>