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1104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 veřejné zakázce na stavební práce, zadávané </w:t>
            </w:r>
            <w:r w:rsidR="001104C3" w:rsidRPr="007F513F">
              <w:rPr>
                <w:rFonts w:ascii="Arial" w:hAnsi="Arial" w:cs="Arial"/>
                <w:b/>
                <w:bCs/>
                <w:sz w:val="20"/>
                <w:szCs w:val="20"/>
              </w:rPr>
              <w:t>v otevřeném podlimitním řízení podle § 52 písm. b) ve spojení s § 56 a násl.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04C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04C3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104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104C3"/>
    <w:rsid w:val="00153DDA"/>
    <w:rsid w:val="001565B5"/>
    <w:rsid w:val="00283EC4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22</cp:revision>
  <dcterms:created xsi:type="dcterms:W3CDTF">2022-01-19T12:25:00Z</dcterms:created>
  <dcterms:modified xsi:type="dcterms:W3CDTF">2025-07-01T15:12:00Z</dcterms:modified>
</cp:coreProperties>
</file>