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FBB23" w14:textId="3AA8D25A" w:rsidR="0038322C" w:rsidRDefault="00C72A69">
      <w:pPr>
        <w:spacing w:before="240" w:after="240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Technické </w:t>
      </w:r>
      <w:proofErr w:type="gramStart"/>
      <w:r w:rsidR="00961889">
        <w:rPr>
          <w:b/>
          <w:sz w:val="24"/>
          <w:szCs w:val="24"/>
        </w:rPr>
        <w:t xml:space="preserve">podmínky: </w:t>
      </w:r>
      <w:r>
        <w:rPr>
          <w:b/>
          <w:sz w:val="24"/>
          <w:szCs w:val="24"/>
        </w:rPr>
        <w:t xml:space="preserve"> Interoperabilita</w:t>
      </w:r>
      <w:proofErr w:type="gramEnd"/>
      <w:r>
        <w:rPr>
          <w:b/>
          <w:sz w:val="24"/>
          <w:szCs w:val="24"/>
        </w:rPr>
        <w:t xml:space="preserve"> </w:t>
      </w:r>
      <w:r w:rsidR="00961889">
        <w:rPr>
          <w:b/>
          <w:sz w:val="24"/>
          <w:szCs w:val="24"/>
        </w:rPr>
        <w:t>e-</w:t>
      </w:r>
      <w:proofErr w:type="spellStart"/>
      <w:r w:rsidR="00961889">
        <w:rPr>
          <w:b/>
          <w:sz w:val="24"/>
          <w:szCs w:val="24"/>
        </w:rPr>
        <w:t>Health</w:t>
      </w:r>
      <w:proofErr w:type="spellEnd"/>
    </w:p>
    <w:p w14:paraId="616AF62B" w14:textId="77777777" w:rsidR="0038322C" w:rsidRDefault="00C72A69">
      <w:pPr>
        <w:spacing w:before="240" w:after="240"/>
        <w:rPr>
          <w:b/>
        </w:rPr>
      </w:pPr>
      <w:r>
        <w:rPr>
          <w:b/>
        </w:rPr>
        <w:t>Cíle zadavatele</w:t>
      </w:r>
    </w:p>
    <w:p w14:paraId="5F72C243" w14:textId="77777777" w:rsidR="0038322C" w:rsidRDefault="00C72A69">
      <w:pPr>
        <w:spacing w:before="240" w:after="240"/>
        <w:jc w:val="both"/>
      </w:pPr>
      <w:r>
        <w:t xml:space="preserve">Cílem této veřejné zakázky je zlepšení kvality poskytované péče při využívání informačních technologií a postupů v oblasti zdravotnictví, a to </w:t>
      </w:r>
      <w:proofErr w:type="gramStart"/>
      <w:r>
        <w:t>především  zlepšením</w:t>
      </w:r>
      <w:proofErr w:type="gramEnd"/>
      <w:r>
        <w:t xml:space="preserve"> způsobu vedení zdravotnické dokumentace umožňující její interoperabilní výměnu, sdílení, bezpečné uložení a interpretaci, prostřednictvím modernizace informačních systémů nemocnic zřizovaných Krajem Vysočina.</w:t>
      </w:r>
    </w:p>
    <w:p w14:paraId="50935ABB" w14:textId="77777777" w:rsidR="0038322C" w:rsidRDefault="00C72A69">
      <w:pPr>
        <w:spacing w:before="240" w:after="240"/>
        <w:jc w:val="both"/>
      </w:pPr>
      <w:r>
        <w:t xml:space="preserve">Zdravotnická dokumentace bude v maximální možné míře vedena a přenášena v elektronické podobě </w:t>
      </w:r>
      <w:proofErr w:type="gramStart"/>
      <w:r>
        <w:t>tak,  aby</w:t>
      </w:r>
      <w:proofErr w:type="gramEnd"/>
      <w:r>
        <w:t xml:space="preserve"> pacientům a oprávněným osobám byl umožněn on-line přístup k této zdravotnické dokumentaci, která bude odpovídat standardům interoperability dle specifikace MZ/NCEZ (národní standardy pro vnitrostátní předávání zdravotnické </w:t>
      </w:r>
      <w:proofErr w:type="gramStart"/>
      <w:r>
        <w:t>dokumentace - dále</w:t>
      </w:r>
      <w:proofErr w:type="gramEnd"/>
      <w:r>
        <w:t xml:space="preserve"> CZ) a také standardům dle specifikace </w:t>
      </w:r>
      <w:proofErr w:type="spellStart"/>
      <w:r>
        <w:t>MyHealth@EU</w:t>
      </w:r>
      <w:proofErr w:type="spellEnd"/>
      <w:r>
        <w:t xml:space="preserve"> (pro přeshraniční </w:t>
      </w:r>
      <w:proofErr w:type="gramStart"/>
      <w:r>
        <w:t>komunikaci - dále</w:t>
      </w:r>
      <w:proofErr w:type="gramEnd"/>
      <w:r>
        <w:t xml:space="preserve"> EU). </w:t>
      </w:r>
    </w:p>
    <w:p w14:paraId="400CA255" w14:textId="77777777" w:rsidR="0038322C" w:rsidRDefault="00C72A69">
      <w:pPr>
        <w:spacing w:before="240" w:after="240"/>
        <w:jc w:val="both"/>
      </w:pPr>
      <w:r>
        <w:t>Součástí dodávky je také splnění povinností nemocnic ve smyslu využívání nově zaváděných centrálních systémů elektronického zdravotnictví a nových povinností vyplývajících z EU legislativy (nařízení EHDS).</w:t>
      </w:r>
    </w:p>
    <w:p w14:paraId="3FBC6E05" w14:textId="77777777" w:rsidR="0038322C" w:rsidRDefault="00C72A69">
      <w:pPr>
        <w:spacing w:before="240" w:after="240"/>
        <w:jc w:val="both"/>
      </w:pPr>
      <w:r>
        <w:t>Dalším cílem této veřejné zakázky je minimalizace závislosti zadavatelů na konkrétním výrobku případně dodavateli prostřednictvím zavedení otevřených interoperabilních řešení.</w:t>
      </w:r>
    </w:p>
    <w:p w14:paraId="3AD5992C" w14:textId="77777777" w:rsidR="0038322C" w:rsidRDefault="0038322C">
      <w:pPr>
        <w:spacing w:before="240" w:after="240"/>
        <w:jc w:val="both"/>
        <w:rPr>
          <w:b/>
        </w:rPr>
      </w:pPr>
    </w:p>
    <w:p w14:paraId="2F620148" w14:textId="77777777" w:rsidR="0038322C" w:rsidRDefault="00C72A69">
      <w:pPr>
        <w:spacing w:before="240" w:after="240"/>
        <w:jc w:val="both"/>
        <w:rPr>
          <w:b/>
        </w:rPr>
      </w:pPr>
      <w:r>
        <w:rPr>
          <w:b/>
        </w:rPr>
        <w:t>Požadavky na řešení systému</w:t>
      </w:r>
    </w:p>
    <w:p w14:paraId="5DD7E7E5" w14:textId="77777777" w:rsidR="0038322C" w:rsidRDefault="00C72A69">
      <w:pPr>
        <w:spacing w:before="240" w:after="240"/>
        <w:jc w:val="both"/>
        <w:rPr>
          <w:b/>
          <w:color w:val="FF0000"/>
        </w:rPr>
      </w:pPr>
      <w:r>
        <w:t>Dodané řešení musí splňovat následující funkční a technické požadavky:</w:t>
      </w:r>
    </w:p>
    <w:p w14:paraId="3EE813A2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Dodávka řešení umožňující vytváření, sdílení, příjem a zobrazení zdravotnické dokumentace v podobě standardizovaných elektronických zdravotních záznamů (dále EHR) prostřednictvím služeb a rozhraní provozovaných v souladu se standardy elektronického zdravotnictví a doporučeními IHE. Výstupem budou plně strukturovaná data.</w:t>
      </w:r>
    </w:p>
    <w:p w14:paraId="684606B7" w14:textId="77777777" w:rsidR="0038322C" w:rsidRDefault="00C72A69">
      <w:pPr>
        <w:spacing w:before="240" w:after="240"/>
        <w:ind w:left="720"/>
        <w:jc w:val="both"/>
      </w:pPr>
      <w:r>
        <w:t>Součástí dodávky je podpora scénářů (</w:t>
      </w:r>
      <w:proofErr w:type="spellStart"/>
      <w:r>
        <w:t>usecase</w:t>
      </w:r>
      <w:proofErr w:type="spellEnd"/>
      <w:r>
        <w:t xml:space="preserve">) pro tyto jednotlivé standardy interoperability dle specifikace MZ/NCEZ (národní standardy pro vnitrostátní předávání zdravotnické dokumentace - dále CZ) a také dle specifikace </w:t>
      </w:r>
      <w:proofErr w:type="spellStart"/>
      <w:r>
        <w:t>MyHealth@EU</w:t>
      </w:r>
      <w:proofErr w:type="spellEnd"/>
      <w:r>
        <w:t xml:space="preserve"> (pro přeshraniční komunikaci - dále EU - viz </w:t>
      </w:r>
      <w:hyperlink r:id="rId7">
        <w:r>
          <w:rPr>
            <w:color w:val="1155CC"/>
            <w:u w:val="single"/>
          </w:rPr>
          <w:t>https://health.ec.europa.eu/ehealth-digital-health-and-care/digital-health-and-care/electronic-cross-border-health-services_en</w:t>
        </w:r>
      </w:hyperlink>
      <w:r>
        <w:t>):</w:t>
      </w:r>
    </w:p>
    <w:p w14:paraId="617C84A7" w14:textId="77777777" w:rsidR="0038322C" w:rsidRDefault="00C72A69">
      <w:pPr>
        <w:numPr>
          <w:ilvl w:val="0"/>
          <w:numId w:val="5"/>
        </w:numPr>
        <w:spacing w:before="240"/>
        <w:ind w:left="1440"/>
        <w:jc w:val="both"/>
      </w:pPr>
      <w:r>
        <w:t>Laboratorní zpráva (CZ, EU)</w:t>
      </w:r>
    </w:p>
    <w:p w14:paraId="00F9E346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Zpráva z obrazových vyšetření (CZ, EU)</w:t>
      </w:r>
    </w:p>
    <w:p w14:paraId="0D90976D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Obrazové vyšetření (CZ, EU)</w:t>
      </w:r>
    </w:p>
    <w:p w14:paraId="7F0DDD67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Propouštěcí zpráva (CZ, EU)</w:t>
      </w:r>
    </w:p>
    <w:p w14:paraId="51F3B596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Pacientský souhrn (CZ, EU)</w:t>
      </w:r>
    </w:p>
    <w:p w14:paraId="0D8A12C9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lastRenderedPageBreak/>
        <w:t>Originální klinický dokument (CZ, EU)</w:t>
      </w:r>
    </w:p>
    <w:p w14:paraId="570FFD54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Záznam o výjezdu (CZ)</w:t>
      </w:r>
    </w:p>
    <w:p w14:paraId="1B76675E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Žádanka laboratorního vyšetření (CZ)</w:t>
      </w:r>
    </w:p>
    <w:p w14:paraId="2868518C" w14:textId="77777777" w:rsidR="0038322C" w:rsidRDefault="00C72A69">
      <w:pPr>
        <w:numPr>
          <w:ilvl w:val="0"/>
          <w:numId w:val="5"/>
        </w:numPr>
        <w:ind w:left="1440"/>
        <w:jc w:val="both"/>
      </w:pPr>
      <w:r>
        <w:t>Žádanka obrazového vyšetření (CZ)</w:t>
      </w:r>
    </w:p>
    <w:p w14:paraId="280BA84C" w14:textId="77777777" w:rsidR="0038322C" w:rsidRDefault="00C72A69">
      <w:pPr>
        <w:spacing w:before="240" w:after="240"/>
        <w:ind w:left="720"/>
        <w:jc w:val="both"/>
      </w:pPr>
      <w:r>
        <w:t xml:space="preserve">Součástí zadávací dokumentace jsou aktuální verze standardů dostupné zadavateli v době vyhlášení VZ. </w:t>
      </w:r>
    </w:p>
    <w:p w14:paraId="624430FE" w14:textId="77777777" w:rsidR="0038322C" w:rsidRDefault="00C72A69">
      <w:pPr>
        <w:spacing w:before="240" w:after="240"/>
        <w:ind w:left="720"/>
        <w:jc w:val="both"/>
      </w:pPr>
      <w:r>
        <w:t>Předmětem dodávky bude řešení respektující standardy platné v době předání díla a údržba informačního systému v rámci servisu tak, aby byl v souladu s platnou legislativou i standardy.</w:t>
      </w:r>
    </w:p>
    <w:p w14:paraId="6D1861C1" w14:textId="77777777" w:rsidR="0038322C" w:rsidRDefault="00C72A69">
      <w:pPr>
        <w:spacing w:before="240" w:after="240"/>
        <w:ind w:left="720"/>
        <w:jc w:val="both"/>
      </w:pPr>
      <w:r>
        <w:t xml:space="preserve">Předmětem dodávky je implementace standardů v plném rozsahu povinných i volitelných položek daného standardu. V případě nedostupnosti dat ze zdrojového systému bude využita metodika HL7 </w:t>
      </w:r>
      <w:proofErr w:type="spellStart"/>
      <w:r>
        <w:t>NullFlavor</w:t>
      </w:r>
      <w:proofErr w:type="spellEnd"/>
    </w:p>
    <w:p w14:paraId="5B6B0F04" w14:textId="77777777" w:rsidR="0038322C" w:rsidRDefault="00C72A69">
      <w:pPr>
        <w:spacing w:before="240" w:after="240"/>
        <w:ind w:left="720"/>
        <w:jc w:val="both"/>
      </w:pPr>
      <w:r>
        <w:t xml:space="preserve"> </w:t>
      </w:r>
      <w:hyperlink r:id="rId8">
        <w:r>
          <w:rPr>
            <w:color w:val="1155CC"/>
            <w:u w:val="single"/>
          </w:rPr>
          <w:t>https://terminology.hl7.org/1.0.0/CodeSystem-v3-NullFlavor.html</w:t>
        </w:r>
      </w:hyperlink>
      <w:r>
        <w:t xml:space="preserve"> </w:t>
      </w:r>
    </w:p>
    <w:p w14:paraId="352BE77E" w14:textId="77777777" w:rsidR="0038322C" w:rsidRDefault="00C72A69">
      <w:pPr>
        <w:numPr>
          <w:ilvl w:val="0"/>
          <w:numId w:val="2"/>
        </w:numPr>
        <w:spacing w:before="240"/>
        <w:jc w:val="both"/>
      </w:pPr>
      <w:r>
        <w:t>Dále musí být součástí dodávky úprava prostředí organizace tak, aby podporovalo a využívalo rozhraní (API) dle specifikace:</w:t>
      </w:r>
    </w:p>
    <w:p w14:paraId="705C9AD9" w14:textId="77777777" w:rsidR="0038322C" w:rsidRDefault="00C72A69">
      <w:pPr>
        <w:numPr>
          <w:ilvl w:val="0"/>
          <w:numId w:val="3"/>
        </w:numPr>
      </w:pPr>
      <w:r>
        <w:t xml:space="preserve">profilu IHE MHD (zápis do registru, vyhledání záznamu, získání záznamu/dokumentu, uložení záznamu do </w:t>
      </w:r>
      <w:proofErr w:type="spellStart"/>
      <w:r>
        <w:t>repozitáře</w:t>
      </w:r>
      <w:proofErr w:type="spellEnd"/>
      <w:r>
        <w:t>) v akreditované afinitní doméně</w:t>
      </w:r>
    </w:p>
    <w:p w14:paraId="2BAD5B03" w14:textId="77777777" w:rsidR="0038322C" w:rsidRDefault="00C72A69">
      <w:pPr>
        <w:numPr>
          <w:ilvl w:val="0"/>
          <w:numId w:val="3"/>
        </w:numPr>
      </w:pPr>
      <w:r>
        <w:t>centrálních systémů elektronického zdravotnictví</w:t>
      </w:r>
    </w:p>
    <w:p w14:paraId="34895663" w14:textId="77777777" w:rsidR="0038322C" w:rsidRDefault="00C72A69">
      <w:pPr>
        <w:numPr>
          <w:ilvl w:val="1"/>
          <w:numId w:val="3"/>
        </w:numPr>
      </w:pPr>
      <w:r>
        <w:t>Kmenový registr pacientů</w:t>
      </w:r>
    </w:p>
    <w:p w14:paraId="13C3D4B5" w14:textId="77777777" w:rsidR="0038322C" w:rsidRDefault="00C72A69">
      <w:pPr>
        <w:numPr>
          <w:ilvl w:val="1"/>
          <w:numId w:val="3"/>
        </w:numPr>
      </w:pPr>
      <w:r>
        <w:t>Kmenový registr poskytovatelů</w:t>
      </w:r>
    </w:p>
    <w:p w14:paraId="5AC3D4D5" w14:textId="77777777" w:rsidR="0038322C" w:rsidRDefault="00C72A69">
      <w:pPr>
        <w:numPr>
          <w:ilvl w:val="1"/>
          <w:numId w:val="3"/>
        </w:numPr>
      </w:pPr>
      <w:r>
        <w:t>Kmenový registr zdravotnických pracovníků</w:t>
      </w:r>
    </w:p>
    <w:p w14:paraId="25C8C83F" w14:textId="77777777" w:rsidR="0038322C" w:rsidRDefault="00C72A69">
      <w:pPr>
        <w:numPr>
          <w:ilvl w:val="1"/>
          <w:numId w:val="3"/>
        </w:numPr>
      </w:pPr>
      <w:r>
        <w:t>Dočasné úložiště</w:t>
      </w:r>
    </w:p>
    <w:p w14:paraId="22B6DCB3" w14:textId="77777777" w:rsidR="0038322C" w:rsidRDefault="00C72A69">
      <w:pPr>
        <w:numPr>
          <w:ilvl w:val="1"/>
          <w:numId w:val="3"/>
        </w:numPr>
      </w:pPr>
      <w:r>
        <w:t>Národní kontaktní místo pro elektronické zdravotnictví (</w:t>
      </w:r>
      <w:proofErr w:type="spellStart"/>
      <w:r>
        <w:t>NCPeH</w:t>
      </w:r>
      <w:proofErr w:type="spellEnd"/>
      <w:r>
        <w:t>)</w:t>
      </w:r>
    </w:p>
    <w:p w14:paraId="5C3D8143" w14:textId="77777777" w:rsidR="0038322C" w:rsidRDefault="00C72A69">
      <w:pPr>
        <w:numPr>
          <w:ilvl w:val="1"/>
          <w:numId w:val="3"/>
        </w:numPr>
      </w:pPr>
      <w:r>
        <w:t>Registr oprávnění</w:t>
      </w:r>
    </w:p>
    <w:p w14:paraId="3E94D70F" w14:textId="77777777" w:rsidR="0038322C" w:rsidRDefault="00C72A69">
      <w:pPr>
        <w:numPr>
          <w:ilvl w:val="1"/>
          <w:numId w:val="3"/>
        </w:numPr>
      </w:pPr>
      <w:r>
        <w:t>Centrální terminologický server</w:t>
      </w:r>
    </w:p>
    <w:p w14:paraId="6F0B2D9E" w14:textId="77777777" w:rsidR="0038322C" w:rsidRDefault="00C72A69">
      <w:pPr>
        <w:numPr>
          <w:ilvl w:val="1"/>
          <w:numId w:val="3"/>
        </w:numPr>
      </w:pPr>
      <w:r>
        <w:t>Napojení na Národní registry NZIS</w:t>
      </w:r>
    </w:p>
    <w:p w14:paraId="1AE1F811" w14:textId="77777777" w:rsidR="0038322C" w:rsidRDefault="00C72A69">
      <w:pPr>
        <w:numPr>
          <w:ilvl w:val="1"/>
          <w:numId w:val="3"/>
        </w:numPr>
        <w:jc w:val="both"/>
      </w:pPr>
      <w:r>
        <w:rPr>
          <w:highlight w:val="white"/>
        </w:rPr>
        <w:t xml:space="preserve">Implementace systému </w:t>
      </w:r>
      <w:proofErr w:type="spellStart"/>
      <w:r>
        <w:rPr>
          <w:highlight w:val="white"/>
        </w:rPr>
        <w:t>eŽadanek</w:t>
      </w:r>
      <w:proofErr w:type="spellEnd"/>
    </w:p>
    <w:p w14:paraId="69F66CC7" w14:textId="77777777" w:rsidR="0038322C" w:rsidRDefault="00C72A69" w:rsidP="00425898">
      <w:pPr>
        <w:numPr>
          <w:ilvl w:val="1"/>
          <w:numId w:val="3"/>
        </w:numPr>
        <w:jc w:val="both"/>
        <w:rPr>
          <w:highlight w:val="white"/>
        </w:rPr>
      </w:pPr>
      <w:r>
        <w:rPr>
          <w:highlight w:val="white"/>
        </w:rPr>
        <w:t xml:space="preserve">Žurnál činností </w:t>
      </w:r>
    </w:p>
    <w:p w14:paraId="400B72F9" w14:textId="1E00DC2E" w:rsidR="00425898" w:rsidRDefault="00425898">
      <w:pPr>
        <w:numPr>
          <w:ilvl w:val="1"/>
          <w:numId w:val="3"/>
        </w:numPr>
        <w:spacing w:after="240"/>
        <w:jc w:val="both"/>
        <w:rPr>
          <w:highlight w:val="white"/>
        </w:rPr>
      </w:pPr>
      <w:r>
        <w:rPr>
          <w:highlight w:val="white"/>
        </w:rPr>
        <w:t>Notifikační služby</w:t>
      </w:r>
    </w:p>
    <w:p w14:paraId="2DB80EDF" w14:textId="77777777" w:rsidR="0038322C" w:rsidRDefault="00C72A69">
      <w:pPr>
        <w:spacing w:before="240" w:after="240"/>
        <w:ind w:left="720"/>
        <w:jc w:val="both"/>
      </w:pPr>
      <w:r>
        <w:t xml:space="preserve">Implementace API pro výměnu a sdílení zdravotnické dokumentace dle Standardů EZ (Standard </w:t>
      </w:r>
      <w:proofErr w:type="gramStart"/>
      <w:r>
        <w:t>EZ - Dočasné</w:t>
      </w:r>
      <w:proofErr w:type="gramEnd"/>
      <w:r>
        <w:t xml:space="preserve"> úložiště), které umožní sdílení, předávání, vyhledávání a získávání EHR určené k výměně EHR s pacienty či jinými PZS v rámci zajištění kontinuity péče. Implementace bude provedena v souladu s výše jmenovaným Standardem. API je postaveno na následujících technických principech:</w:t>
      </w:r>
    </w:p>
    <w:p w14:paraId="091F4F2A" w14:textId="77777777" w:rsidR="0038322C" w:rsidRDefault="00C72A69">
      <w:pPr>
        <w:spacing w:before="240" w:after="240"/>
        <w:ind w:firstLine="720"/>
      </w:pPr>
      <w:r>
        <w:t>REST API rozhraní:</w:t>
      </w:r>
    </w:p>
    <w:p w14:paraId="112CC30C" w14:textId="77777777" w:rsidR="0038322C" w:rsidRDefault="00C72A69">
      <w:pPr>
        <w:numPr>
          <w:ilvl w:val="0"/>
          <w:numId w:val="4"/>
        </w:numPr>
        <w:spacing w:before="240"/>
      </w:pPr>
      <w:r>
        <w:t>API využívá standardní HTTP metody: GET, POST, PUT, DELETE dle definice FHIR pro příslušné transakce.</w:t>
      </w:r>
    </w:p>
    <w:p w14:paraId="7D434D17" w14:textId="77777777" w:rsidR="0038322C" w:rsidRDefault="00C72A69">
      <w:pPr>
        <w:numPr>
          <w:ilvl w:val="0"/>
          <w:numId w:val="4"/>
        </w:numPr>
      </w:pPr>
      <w:r>
        <w:t>Zdroje jsou identifikovány pomocí URI.</w:t>
      </w:r>
    </w:p>
    <w:p w14:paraId="19F1723B" w14:textId="77777777" w:rsidR="0038322C" w:rsidRDefault="00C72A69">
      <w:pPr>
        <w:numPr>
          <w:ilvl w:val="0"/>
          <w:numId w:val="4"/>
        </w:numPr>
      </w:pPr>
      <w:r>
        <w:t>Implementuje hypermediální odkazy (HATEOAS), které umožňují navigaci mezi zdroji.</w:t>
      </w:r>
    </w:p>
    <w:p w14:paraId="5EB7F31C" w14:textId="77777777" w:rsidR="0038322C" w:rsidRDefault="00C72A69">
      <w:pPr>
        <w:numPr>
          <w:ilvl w:val="0"/>
          <w:numId w:val="4"/>
        </w:numPr>
        <w:spacing w:after="240"/>
      </w:pPr>
      <w:r>
        <w:lastRenderedPageBreak/>
        <w:t>Možnost řízení oprávnění jednotlivých metod dle kritérií popsaných v úvodní analýze</w:t>
      </w:r>
    </w:p>
    <w:p w14:paraId="7450EF70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Pro všechny výše popsané </w:t>
      </w:r>
      <w:proofErr w:type="spellStart"/>
      <w:r>
        <w:t>usecasy</w:t>
      </w:r>
      <w:proofErr w:type="spellEnd"/>
      <w:r>
        <w:t xml:space="preserve"> budou dodány nástroje na vyhledání, získání, poskytnutí, zobrazení a uložení EHR.</w:t>
      </w:r>
    </w:p>
    <w:p w14:paraId="41E23F4B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Zavedení systémů evidence jednoznačných identifikátorů příslušných vydaných a získaných dokumentů EHR (index dokumentů) a jejich úložišť (</w:t>
      </w:r>
      <w:proofErr w:type="spellStart"/>
      <w:r>
        <w:t>repozitářů</w:t>
      </w:r>
      <w:proofErr w:type="spellEnd"/>
      <w:r>
        <w:t>).</w:t>
      </w:r>
    </w:p>
    <w:p w14:paraId="49AEB7AF" w14:textId="77777777" w:rsidR="0038322C" w:rsidRDefault="00C72A69">
      <w:pPr>
        <w:numPr>
          <w:ilvl w:val="0"/>
          <w:numId w:val="2"/>
        </w:numPr>
        <w:jc w:val="both"/>
      </w:pPr>
      <w:r>
        <w:t xml:space="preserve">Dodané Řešení bude respektovat tyto požadavky: </w:t>
      </w:r>
    </w:p>
    <w:p w14:paraId="4EC980ED" w14:textId="77777777" w:rsidR="0038322C" w:rsidRDefault="00C72A69">
      <w:pPr>
        <w:numPr>
          <w:ilvl w:val="1"/>
          <w:numId w:val="2"/>
        </w:numPr>
        <w:jc w:val="both"/>
      </w:pPr>
      <w:r>
        <w:t xml:space="preserve">podpora jednotného systému identifikace a přihlašování uživatelů (IDM, SSO) nebo pomocí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>/</w:t>
      </w:r>
      <w:proofErr w:type="spellStart"/>
      <w:r>
        <w:t>Entra</w:t>
      </w:r>
      <w:proofErr w:type="spellEnd"/>
      <w:r>
        <w:t xml:space="preserve"> ID. Aplikace nesmí lokálně ukládat žádná hesla a autentizace musí proběhnout prostřednictvím protokolu Kerberos/SAML/OIDC.</w:t>
      </w:r>
    </w:p>
    <w:p w14:paraId="2363E176" w14:textId="77777777" w:rsidR="0038322C" w:rsidRDefault="00C72A69">
      <w:pPr>
        <w:numPr>
          <w:ilvl w:val="1"/>
          <w:numId w:val="2"/>
        </w:numPr>
        <w:jc w:val="both"/>
      </w:pPr>
      <w:r>
        <w:t xml:space="preserve">Pokud je součástí aplikační software, který umožňuje diferencovat oprávnění v aplikaci (role), požadujeme, aby nastavení oprávnění v aplikaci bylo uděleno na základě členství ve skupině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>/</w:t>
      </w:r>
      <w:proofErr w:type="spellStart"/>
      <w:r>
        <w:t>Entra</w:t>
      </w:r>
      <w:proofErr w:type="spellEnd"/>
      <w:r>
        <w:t xml:space="preserve"> ID nebo prostřednictvím služeb IDM.</w:t>
      </w:r>
    </w:p>
    <w:p w14:paraId="49CD2BC8" w14:textId="77777777" w:rsidR="0038322C" w:rsidRDefault="00C72A69">
      <w:pPr>
        <w:numPr>
          <w:ilvl w:val="1"/>
          <w:numId w:val="2"/>
        </w:numPr>
        <w:jc w:val="both"/>
      </w:pPr>
      <w:r>
        <w:t xml:space="preserve">Lokální účty jsou umožněny pouze jako systémové a </w:t>
      </w:r>
      <w:proofErr w:type="spellStart"/>
      <w:r>
        <w:t>fallback</w:t>
      </w:r>
      <w:proofErr w:type="spellEnd"/>
      <w:r>
        <w:t>.</w:t>
      </w:r>
    </w:p>
    <w:p w14:paraId="5F156F2C" w14:textId="77777777" w:rsidR="0038322C" w:rsidRDefault="00C72A69">
      <w:pPr>
        <w:numPr>
          <w:ilvl w:val="1"/>
          <w:numId w:val="2"/>
        </w:numPr>
        <w:jc w:val="both"/>
      </w:pPr>
      <w:r>
        <w:t>S ohledem na skutečnost, že nemocnice jsou povinnou osobou dle Zákona č. 181/2014 Sb. požadujeme, aby veškeré logy ze všech aplikací a systémů byly ukládány do centrálního logovacího a vyhodnocovacího systému typu SIEM/SEM/</w:t>
      </w:r>
      <w:proofErr w:type="spellStart"/>
      <w:r>
        <w:t>logmanagement</w:t>
      </w:r>
      <w:proofErr w:type="spellEnd"/>
      <w:r>
        <w:t xml:space="preserve">, a to prostřednictvím </w:t>
      </w:r>
      <w:proofErr w:type="spellStart"/>
      <w:r>
        <w:t>syslog</w:t>
      </w:r>
      <w:proofErr w:type="spellEnd"/>
      <w:r>
        <w:t xml:space="preserve"> protokolu dle RFC </w:t>
      </w:r>
      <w:proofErr w:type="spellStart"/>
      <w:r>
        <w:t>RFC</w:t>
      </w:r>
      <w:proofErr w:type="spellEnd"/>
      <w:r>
        <w:t xml:space="preserve"> 5424. Dále logy a auditní stopa musí splňovat tyto požadavky: </w:t>
      </w:r>
    </w:p>
    <w:p w14:paraId="5456CAD1" w14:textId="77777777" w:rsidR="0038322C" w:rsidRDefault="00C72A69">
      <w:pPr>
        <w:numPr>
          <w:ilvl w:val="2"/>
          <w:numId w:val="2"/>
        </w:numPr>
        <w:jc w:val="both"/>
      </w:pPr>
      <w:r>
        <w:t>Řešení musí zaznamenávat auditní záznamy a logy na všech existujících úrovních – tj. na úrovni:</w:t>
      </w:r>
    </w:p>
    <w:p w14:paraId="20AF99FB" w14:textId="77777777" w:rsidR="0038322C" w:rsidRDefault="00C72A69">
      <w:pPr>
        <w:numPr>
          <w:ilvl w:val="3"/>
          <w:numId w:val="2"/>
        </w:numPr>
        <w:jc w:val="both"/>
      </w:pPr>
      <w:r>
        <w:t xml:space="preserve">operačního systému aktiva, </w:t>
      </w:r>
    </w:p>
    <w:p w14:paraId="0BB2F4CC" w14:textId="77777777" w:rsidR="0038322C" w:rsidRDefault="00C72A69">
      <w:pPr>
        <w:numPr>
          <w:ilvl w:val="3"/>
          <w:numId w:val="2"/>
        </w:numPr>
        <w:jc w:val="both"/>
      </w:pPr>
      <w:r>
        <w:t xml:space="preserve">aplikačního serveru/modulu aktiva (např. web server, </w:t>
      </w:r>
      <w:proofErr w:type="spellStart"/>
      <w:r>
        <w:t>sql</w:t>
      </w:r>
      <w:proofErr w:type="spellEnd"/>
      <w:r>
        <w:t xml:space="preserve"> </w:t>
      </w:r>
      <w:proofErr w:type="gramStart"/>
      <w:r>
        <w:t>server,</w:t>
      </w:r>
      <w:proofErr w:type="gramEnd"/>
      <w:r>
        <w:t xml:space="preserve"> apod.)</w:t>
      </w:r>
    </w:p>
    <w:p w14:paraId="6B65FBF1" w14:textId="77777777" w:rsidR="0038322C" w:rsidRDefault="00C72A69">
      <w:pPr>
        <w:numPr>
          <w:ilvl w:val="3"/>
          <w:numId w:val="2"/>
        </w:numPr>
        <w:jc w:val="both"/>
      </w:pPr>
      <w:r>
        <w:t xml:space="preserve">samostatné aplikace/informačního systému/služby informačního systému. </w:t>
      </w:r>
    </w:p>
    <w:p w14:paraId="427F317B" w14:textId="77777777" w:rsidR="0038322C" w:rsidRDefault="00C72A69">
      <w:pPr>
        <w:numPr>
          <w:ilvl w:val="2"/>
          <w:numId w:val="2"/>
        </w:numPr>
        <w:jc w:val="both"/>
      </w:pPr>
      <w:r>
        <w:t>Auditní záznamy a logy informačních aktiv musí obsahovat minimálně tyto informace:</w:t>
      </w:r>
    </w:p>
    <w:p w14:paraId="249A08F0" w14:textId="77777777" w:rsidR="0038322C" w:rsidRDefault="00C72A69">
      <w:pPr>
        <w:numPr>
          <w:ilvl w:val="3"/>
          <w:numId w:val="2"/>
        </w:numPr>
        <w:jc w:val="both"/>
      </w:pPr>
      <w:r>
        <w:t>přihlášení a odhlášení všech uživatelů (včetně administrátorů či jiných privilegovaných účtů),</w:t>
      </w:r>
    </w:p>
    <w:p w14:paraId="44559D14" w14:textId="77777777" w:rsidR="0038322C" w:rsidRDefault="00C72A69">
      <w:pPr>
        <w:numPr>
          <w:ilvl w:val="3"/>
          <w:numId w:val="2"/>
        </w:numPr>
        <w:jc w:val="both"/>
      </w:pPr>
      <w:r>
        <w:t>činnosti provedené administrátory, např. (pokud danou funkcionalitu obsahují):</w:t>
      </w:r>
    </w:p>
    <w:p w14:paraId="2377E375" w14:textId="77777777" w:rsidR="0038322C" w:rsidRDefault="00C72A69">
      <w:pPr>
        <w:numPr>
          <w:ilvl w:val="4"/>
          <w:numId w:val="2"/>
        </w:numPr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přidělení/odebrání oprávnění,</w:t>
      </w:r>
    </w:p>
    <w:p w14:paraId="495DB527" w14:textId="77777777" w:rsidR="0038322C" w:rsidRDefault="00C72A69">
      <w:pPr>
        <w:numPr>
          <w:ilvl w:val="4"/>
          <w:numId w:val="2"/>
        </w:numPr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založení/smazání uživatele</w:t>
      </w:r>
    </w:p>
    <w:p w14:paraId="2AFB751B" w14:textId="77777777" w:rsidR="0038322C" w:rsidRDefault="00C72A69">
      <w:pPr>
        <w:numPr>
          <w:ilvl w:val="4"/>
          <w:numId w:val="2"/>
        </w:numPr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přidělení/odebrání role</w:t>
      </w:r>
    </w:p>
    <w:p w14:paraId="0BC861C8" w14:textId="77777777" w:rsidR="0038322C" w:rsidRDefault="00C72A69">
      <w:pPr>
        <w:numPr>
          <w:ilvl w:val="4"/>
          <w:numId w:val="2"/>
        </w:numPr>
        <w:jc w:val="both"/>
      </w:pPr>
      <w:r>
        <w:t>reset hesla (pokud je prováděn na úrovni logujícího informačního aktiva)</w:t>
      </w:r>
    </w:p>
    <w:p w14:paraId="215BE863" w14:textId="77777777" w:rsidR="0038322C" w:rsidRDefault="00C72A69">
      <w:pPr>
        <w:numPr>
          <w:ilvl w:val="4"/>
          <w:numId w:val="2"/>
        </w:numPr>
        <w:jc w:val="both"/>
      </w:pPr>
      <w:r>
        <w:t>povýšení oprávnění administrátora, převzetí role konkrétního uživatele</w:t>
      </w:r>
    </w:p>
    <w:p w14:paraId="5DEED051" w14:textId="77777777" w:rsidR="0038322C" w:rsidRDefault="00C72A69">
      <w:pPr>
        <w:numPr>
          <w:ilvl w:val="4"/>
          <w:numId w:val="2"/>
        </w:numPr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změna konfigurace logování událostí</w:t>
      </w:r>
    </w:p>
    <w:p w14:paraId="2DBA8FAA" w14:textId="77777777" w:rsidR="0038322C" w:rsidRDefault="00C72A69">
      <w:pPr>
        <w:numPr>
          <w:ilvl w:val="4"/>
          <w:numId w:val="2"/>
        </w:numPr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změna konfigurace informačního aktiva, </w:t>
      </w:r>
    </w:p>
    <w:p w14:paraId="6926373C" w14:textId="77777777" w:rsidR="0038322C" w:rsidRDefault="00C72A69">
      <w:pPr>
        <w:numPr>
          <w:ilvl w:val="3"/>
          <w:numId w:val="2"/>
        </w:numPr>
        <w:jc w:val="both"/>
      </w:pPr>
      <w:r>
        <w:rPr>
          <w:sz w:val="14"/>
          <w:szCs w:val="14"/>
        </w:rPr>
        <w:t xml:space="preserve"> </w:t>
      </w:r>
      <w:r>
        <w:t xml:space="preserve">činnosti prováděné uživateli, </w:t>
      </w:r>
    </w:p>
    <w:p w14:paraId="7A21E7C3" w14:textId="77777777" w:rsidR="0038322C" w:rsidRDefault="00C72A69">
      <w:pPr>
        <w:numPr>
          <w:ilvl w:val="3"/>
          <w:numId w:val="2"/>
        </w:numPr>
        <w:jc w:val="both"/>
      </w:pPr>
      <w:r>
        <w:lastRenderedPageBreak/>
        <w:t xml:space="preserve">automatická informační, varovná a chybová hlášení provozního charakteru (tzv. aplikační logy) </w:t>
      </w:r>
    </w:p>
    <w:p w14:paraId="01C5246C" w14:textId="77777777" w:rsidR="0038322C" w:rsidRDefault="00C72A69">
      <w:pPr>
        <w:numPr>
          <w:ilvl w:val="2"/>
          <w:numId w:val="2"/>
        </w:numPr>
        <w:jc w:val="both"/>
      </w:pPr>
      <w:r>
        <w:t>Auditní záznamy a logy musí obsahovat minimálně tyto parametry a metadata:</w:t>
      </w:r>
    </w:p>
    <w:p w14:paraId="0312EB06" w14:textId="77777777" w:rsidR="0038322C" w:rsidRDefault="00C72A69">
      <w:pPr>
        <w:numPr>
          <w:ilvl w:val="3"/>
          <w:numId w:val="2"/>
        </w:numPr>
        <w:jc w:val="both"/>
      </w:pPr>
      <w:r>
        <w:t>identifikátor události,</w:t>
      </w:r>
    </w:p>
    <w:p w14:paraId="07CF09F8" w14:textId="77777777" w:rsidR="0038322C" w:rsidRDefault="00C72A69">
      <w:pPr>
        <w:numPr>
          <w:ilvl w:val="3"/>
          <w:numId w:val="2"/>
        </w:numPr>
        <w:jc w:val="both"/>
      </w:pPr>
      <w:r>
        <w:t>identifikátor zdroje událostí,</w:t>
      </w:r>
    </w:p>
    <w:p w14:paraId="2CBE2FD4" w14:textId="77777777" w:rsidR="0038322C" w:rsidRDefault="00C72A69">
      <w:pPr>
        <w:numPr>
          <w:ilvl w:val="3"/>
          <w:numId w:val="2"/>
        </w:numPr>
        <w:jc w:val="both"/>
      </w:pPr>
      <w:r>
        <w:t>přesné datum vzniku události,</w:t>
      </w:r>
    </w:p>
    <w:p w14:paraId="173DA7D6" w14:textId="77777777" w:rsidR="0038322C" w:rsidRDefault="00C72A69">
      <w:pPr>
        <w:numPr>
          <w:ilvl w:val="3"/>
          <w:numId w:val="2"/>
        </w:numPr>
        <w:jc w:val="both"/>
      </w:pPr>
      <w:r>
        <w:t>přesný čas vzniku události</w:t>
      </w:r>
      <w:r>
        <w:rPr>
          <w:sz w:val="20"/>
          <w:szCs w:val="20"/>
          <w:highlight w:val="white"/>
        </w:rPr>
        <w:t xml:space="preserve"> </w:t>
      </w:r>
      <w:r>
        <w:t>včetně specifikace časového pásma,</w:t>
      </w:r>
    </w:p>
    <w:p w14:paraId="335C7983" w14:textId="77777777" w:rsidR="0038322C" w:rsidRDefault="00C72A69">
      <w:pPr>
        <w:numPr>
          <w:ilvl w:val="3"/>
          <w:numId w:val="2"/>
        </w:numPr>
        <w:jc w:val="both"/>
      </w:pPr>
      <w:r>
        <w:t>typ/název události,</w:t>
      </w:r>
    </w:p>
    <w:p w14:paraId="7DAE55FA" w14:textId="77777777" w:rsidR="0038322C" w:rsidRDefault="00C72A69">
      <w:pPr>
        <w:numPr>
          <w:ilvl w:val="3"/>
          <w:numId w:val="2"/>
        </w:numPr>
        <w:jc w:val="both"/>
      </w:pPr>
      <w:r>
        <w:t>případně popis události (pokud není zřejmé z typu/názvu),</w:t>
      </w:r>
    </w:p>
    <w:p w14:paraId="24254B49" w14:textId="77777777" w:rsidR="0038322C" w:rsidRDefault="00C72A69">
      <w:pPr>
        <w:numPr>
          <w:ilvl w:val="3"/>
          <w:numId w:val="2"/>
        </w:numPr>
        <w:jc w:val="both"/>
      </w:pPr>
      <w:r>
        <w:t>jednoznačnou identifikaci účtu, pod kterým byla událost provedena,</w:t>
      </w:r>
    </w:p>
    <w:p w14:paraId="45C605E9" w14:textId="77777777" w:rsidR="0038322C" w:rsidRDefault="00C72A69">
      <w:pPr>
        <w:numPr>
          <w:ilvl w:val="3"/>
          <w:numId w:val="2"/>
        </w:numPr>
        <w:jc w:val="both"/>
      </w:pPr>
      <w:r>
        <w:t>jednoznačnou síťovou identifikaci zařízení původce a</w:t>
      </w:r>
    </w:p>
    <w:p w14:paraId="58DDA60B" w14:textId="77777777" w:rsidR="0038322C" w:rsidRDefault="00C72A69">
      <w:pPr>
        <w:numPr>
          <w:ilvl w:val="3"/>
          <w:numId w:val="2"/>
        </w:numPr>
        <w:jc w:val="both"/>
      </w:pPr>
      <w:r>
        <w:t xml:space="preserve">úspěšnost nebo neúspěšnost (včetně neprovedení činnosti v důsledku nedostatečných oprávnění) události. </w:t>
      </w:r>
    </w:p>
    <w:p w14:paraId="4A37CB23" w14:textId="77777777" w:rsidR="0038322C" w:rsidRDefault="00C72A69">
      <w:pPr>
        <w:numPr>
          <w:ilvl w:val="2"/>
          <w:numId w:val="2"/>
        </w:numPr>
        <w:jc w:val="both"/>
      </w:pPr>
      <w:r>
        <w:t>Formát (resp. standard) logů musí být v jedné z následujících možností:</w:t>
      </w:r>
    </w:p>
    <w:p w14:paraId="5978E112" w14:textId="77777777" w:rsidR="0038322C" w:rsidRDefault="00C72A69">
      <w:pPr>
        <w:numPr>
          <w:ilvl w:val="3"/>
          <w:numId w:val="2"/>
        </w:numPr>
        <w:jc w:val="both"/>
      </w:pPr>
      <w:proofErr w:type="spellStart"/>
      <w:r>
        <w:t>syslog</w:t>
      </w:r>
      <w:proofErr w:type="spellEnd"/>
      <w:r>
        <w:t xml:space="preserve"> (RFC 5424) + </w:t>
      </w:r>
      <w:proofErr w:type="spellStart"/>
      <w:r>
        <w:t>syslog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TLS,</w:t>
      </w:r>
    </w:p>
    <w:p w14:paraId="0D5F43D6" w14:textId="77777777" w:rsidR="0038322C" w:rsidRDefault="00C72A69">
      <w:pPr>
        <w:numPr>
          <w:ilvl w:val="3"/>
          <w:numId w:val="2"/>
        </w:numPr>
        <w:jc w:val="both"/>
      </w:pPr>
      <w:r>
        <w:t xml:space="preserve">MS Windows Event Log (případně vlastní umístění </w:t>
      </w:r>
      <w:proofErr w:type="spellStart"/>
      <w:r>
        <w:t>XPath</w:t>
      </w:r>
      <w:proofErr w:type="spellEnd"/>
      <w:r>
        <w:t xml:space="preserve"> pro informační aktivum), </w:t>
      </w:r>
    </w:p>
    <w:p w14:paraId="1ABA297C" w14:textId="77777777" w:rsidR="0038322C" w:rsidRDefault="00C72A69">
      <w:pPr>
        <w:numPr>
          <w:ilvl w:val="3"/>
          <w:numId w:val="2"/>
        </w:numPr>
        <w:jc w:val="both"/>
      </w:pPr>
      <w:r>
        <w:t>W3C (pro MS IIS Web server),</w:t>
      </w:r>
    </w:p>
    <w:p w14:paraId="72D62B1F" w14:textId="77777777" w:rsidR="0038322C" w:rsidRDefault="00C72A69">
      <w:pPr>
        <w:numPr>
          <w:ilvl w:val="3"/>
          <w:numId w:val="2"/>
        </w:numPr>
        <w:jc w:val="both"/>
      </w:pPr>
      <w:r>
        <w:t xml:space="preserve">Standardní </w:t>
      </w:r>
      <w:proofErr w:type="spellStart"/>
      <w:r>
        <w:t>apache</w:t>
      </w:r>
      <w:proofErr w:type="spellEnd"/>
      <w:r>
        <w:t>/</w:t>
      </w:r>
      <w:proofErr w:type="spellStart"/>
      <w:r>
        <w:t>nginx</w:t>
      </w:r>
      <w:proofErr w:type="spellEnd"/>
      <w:r>
        <w:t xml:space="preserve"> web server logy, </w:t>
      </w:r>
    </w:p>
    <w:p w14:paraId="1D41437E" w14:textId="77777777" w:rsidR="0038322C" w:rsidRDefault="00C72A69">
      <w:pPr>
        <w:numPr>
          <w:ilvl w:val="3"/>
          <w:numId w:val="2"/>
        </w:numPr>
        <w:jc w:val="both"/>
      </w:pPr>
      <w:r>
        <w:t xml:space="preserve">SQL </w:t>
      </w:r>
      <w:proofErr w:type="spellStart"/>
      <w:r>
        <w:t>view</w:t>
      </w:r>
      <w:proofErr w:type="spellEnd"/>
      <w:r>
        <w:t xml:space="preserve">, </w:t>
      </w:r>
    </w:p>
    <w:p w14:paraId="6BC6FCBB" w14:textId="77777777" w:rsidR="0038322C" w:rsidRDefault="00C72A69">
      <w:pPr>
        <w:numPr>
          <w:ilvl w:val="3"/>
          <w:numId w:val="2"/>
        </w:numPr>
        <w:jc w:val="both"/>
      </w:pPr>
      <w:r>
        <w:t xml:space="preserve">MS SQL audit logy, </w:t>
      </w:r>
    </w:p>
    <w:p w14:paraId="4BDA8878" w14:textId="77777777" w:rsidR="0038322C" w:rsidRDefault="00C72A69">
      <w:pPr>
        <w:numPr>
          <w:ilvl w:val="3"/>
          <w:numId w:val="2"/>
        </w:numPr>
        <w:jc w:val="both"/>
      </w:pPr>
      <w:r>
        <w:t>jiné (pouze na základě domluvy a po předchozím schválení), např.:</w:t>
      </w:r>
    </w:p>
    <w:p w14:paraId="19B24B39" w14:textId="77777777" w:rsidR="0038322C" w:rsidRDefault="00C72A69">
      <w:pPr>
        <w:numPr>
          <w:ilvl w:val="4"/>
          <w:numId w:val="2"/>
        </w:numPr>
        <w:jc w:val="both"/>
      </w:pPr>
      <w:proofErr w:type="spellStart"/>
      <w:r>
        <w:t>json</w:t>
      </w:r>
      <w:proofErr w:type="spellEnd"/>
      <w:r>
        <w:t>,</w:t>
      </w:r>
    </w:p>
    <w:p w14:paraId="67FC8533" w14:textId="77777777" w:rsidR="0038322C" w:rsidRDefault="00C72A69">
      <w:pPr>
        <w:numPr>
          <w:ilvl w:val="4"/>
          <w:numId w:val="2"/>
        </w:numPr>
        <w:jc w:val="both"/>
      </w:pPr>
      <w:proofErr w:type="spellStart"/>
      <w:r>
        <w:t>plain</w:t>
      </w:r>
      <w:proofErr w:type="spellEnd"/>
      <w:r>
        <w:t>-text line-</w:t>
      </w:r>
      <w:proofErr w:type="spellStart"/>
      <w:r>
        <w:t>oriented</w:t>
      </w:r>
      <w:proofErr w:type="spellEnd"/>
      <w:r>
        <w:t xml:space="preserve"> logy,</w:t>
      </w:r>
    </w:p>
    <w:p w14:paraId="5D8ED7E8" w14:textId="77777777" w:rsidR="0038322C" w:rsidRDefault="00C72A69">
      <w:pPr>
        <w:numPr>
          <w:ilvl w:val="4"/>
          <w:numId w:val="2"/>
        </w:numPr>
        <w:jc w:val="both"/>
      </w:pPr>
      <w:proofErr w:type="spellStart"/>
      <w:r>
        <w:t>xml</w:t>
      </w:r>
      <w:proofErr w:type="spellEnd"/>
      <w:r>
        <w:t>,</w:t>
      </w:r>
    </w:p>
    <w:p w14:paraId="4BFDCC14" w14:textId="77777777" w:rsidR="0038322C" w:rsidRDefault="00C72A69">
      <w:pPr>
        <w:numPr>
          <w:ilvl w:val="4"/>
          <w:numId w:val="2"/>
        </w:numPr>
        <w:spacing w:after="240"/>
        <w:jc w:val="both"/>
      </w:pPr>
      <w:r>
        <w:t xml:space="preserve">atd. </w:t>
      </w:r>
    </w:p>
    <w:p w14:paraId="627DFC16" w14:textId="77777777" w:rsidR="0038322C" w:rsidRDefault="0038322C">
      <w:pPr>
        <w:spacing w:after="240"/>
        <w:ind w:left="2880"/>
        <w:jc w:val="both"/>
      </w:pPr>
    </w:p>
    <w:p w14:paraId="163CBF79" w14:textId="77777777" w:rsidR="0038322C" w:rsidRDefault="00C72A69">
      <w:pPr>
        <w:numPr>
          <w:ilvl w:val="1"/>
          <w:numId w:val="2"/>
        </w:numPr>
        <w:jc w:val="both"/>
      </w:pPr>
      <w:r>
        <w:t>Požadujeme plnou funkcionalitu všech dodávaných řešení minimálně na protokolech IPv4.</w:t>
      </w:r>
    </w:p>
    <w:p w14:paraId="338A3284" w14:textId="77777777" w:rsidR="0038322C" w:rsidRDefault="00C72A69">
      <w:pPr>
        <w:numPr>
          <w:ilvl w:val="1"/>
          <w:numId w:val="2"/>
        </w:numPr>
        <w:jc w:val="both"/>
      </w:pPr>
      <w:r>
        <w:t xml:space="preserve">Verze OS – v rámci instalace a dodávky nových HW a SW řešení je podporován pouze OS ve verzi, který má aktuálně podporu od výrobce daného </w:t>
      </w:r>
      <w:proofErr w:type="gramStart"/>
      <w:r>
        <w:t>OS</w:t>
      </w:r>
      <w:proofErr w:type="gramEnd"/>
      <w:r>
        <w:t xml:space="preserve"> a to s výhledem minimálně dvou let dopředu.</w:t>
      </w:r>
    </w:p>
    <w:p w14:paraId="57C0B636" w14:textId="77777777" w:rsidR="0038322C" w:rsidRDefault="00C72A69">
      <w:pPr>
        <w:numPr>
          <w:ilvl w:val="1"/>
          <w:numId w:val="2"/>
        </w:numPr>
        <w:jc w:val="both"/>
      </w:pPr>
      <w:r>
        <w:t xml:space="preserve">Nemocnice v Kraji Vysočina využívají pro ochranu operačních systémů na koncových stanicích i serverové infrastruktuře vlastní bezpečnostní řešení Je nutné počítat s jejich nasazením i pro dodávané řešení viz tabulka systémy k integraci. </w:t>
      </w:r>
    </w:p>
    <w:p w14:paraId="171B21AB" w14:textId="77777777" w:rsidR="0038322C" w:rsidRDefault="00C72A69">
      <w:pPr>
        <w:numPr>
          <w:ilvl w:val="1"/>
          <w:numId w:val="2"/>
        </w:numPr>
        <w:jc w:val="both"/>
      </w:pPr>
      <w:r>
        <w:t xml:space="preserve">Aplikační servery/moduly/komponenty (např. web server, DB </w:t>
      </w:r>
      <w:proofErr w:type="gramStart"/>
      <w:r>
        <w:t>server,</w:t>
      </w:r>
      <w:proofErr w:type="gramEnd"/>
      <w:r>
        <w:t xml:space="preserve"> apod.) nesmí vyžadovat pro své spuštění privilegovaná oprávnění operačního systému (např. typu </w:t>
      </w:r>
      <w:proofErr w:type="spellStart"/>
      <w:r>
        <w:t>root</w:t>
      </w:r>
      <w:proofErr w:type="spellEnd"/>
      <w:r>
        <w:t xml:space="preserve">, </w:t>
      </w:r>
      <w:proofErr w:type="spellStart"/>
      <w:r>
        <w:t>Administrator</w:t>
      </w:r>
      <w:proofErr w:type="spellEnd"/>
      <w:r>
        <w:t xml:space="preserve">, NT </w:t>
      </w:r>
      <w:proofErr w:type="spellStart"/>
      <w:r>
        <w:t>Authority</w:t>
      </w:r>
      <w:proofErr w:type="spellEnd"/>
      <w:r>
        <w:t>\</w:t>
      </w:r>
      <w:proofErr w:type="spellStart"/>
      <w:proofErr w:type="gramStart"/>
      <w:r>
        <w:t>System</w:t>
      </w:r>
      <w:proofErr w:type="spellEnd"/>
      <w:r>
        <w:t>,</w:t>
      </w:r>
      <w:proofErr w:type="gramEnd"/>
      <w:r>
        <w:t xml:space="preserve"> apod.). </w:t>
      </w:r>
    </w:p>
    <w:p w14:paraId="06E74DC1" w14:textId="77777777" w:rsidR="0038322C" w:rsidRDefault="00C72A69">
      <w:pPr>
        <w:numPr>
          <w:ilvl w:val="1"/>
          <w:numId w:val="2"/>
        </w:numPr>
        <w:jc w:val="both"/>
      </w:pPr>
      <w:r>
        <w:t xml:space="preserve">Požadavky na použité kryptografické funkce, algoritmy, mechanismy a zařízení jsou samostatně definovány ve smlouvě o dílo a servisní smlouvě. </w:t>
      </w:r>
    </w:p>
    <w:p w14:paraId="729E942A" w14:textId="77777777" w:rsidR="0038322C" w:rsidRDefault="00C72A69">
      <w:pPr>
        <w:numPr>
          <w:ilvl w:val="1"/>
          <w:numId w:val="2"/>
        </w:numPr>
        <w:spacing w:after="240"/>
        <w:jc w:val="both"/>
      </w:pPr>
      <w:r>
        <w:t xml:space="preserve">V případě, že bude v řešení použit webový server, musí být nakonfigurovaný tak, aby splňoval požadavky na bezpečnostní HTTP hlavičky dle dobré </w:t>
      </w:r>
      <w:r>
        <w:lastRenderedPageBreak/>
        <w:t xml:space="preserve">bezpečnostní praxe, která je definována prostřednictvím OWASP </w:t>
      </w:r>
      <w:proofErr w:type="spellStart"/>
      <w:r>
        <w:t>CheatSheet</w:t>
      </w:r>
      <w:proofErr w:type="spellEnd"/>
      <w:r>
        <w:t xml:space="preserve"> projektu, konkrétně dle doporučení HTTP </w:t>
      </w:r>
      <w:proofErr w:type="spellStart"/>
      <w:r>
        <w:t>Security</w:t>
      </w:r>
      <w:proofErr w:type="spellEnd"/>
      <w:r>
        <w:t xml:space="preserve"> Response </w:t>
      </w:r>
      <w:proofErr w:type="spellStart"/>
      <w:r>
        <w:t>Headers</w:t>
      </w:r>
      <w:proofErr w:type="spellEnd"/>
      <w:r>
        <w:t xml:space="preserve"> </w:t>
      </w:r>
      <w:proofErr w:type="spellStart"/>
      <w:r>
        <w:t>Cheat</w:t>
      </w:r>
      <w:proofErr w:type="spellEnd"/>
      <w:r>
        <w:t xml:space="preserve"> </w:t>
      </w:r>
      <w:proofErr w:type="spellStart"/>
      <w:r>
        <w:t>Sheet</w:t>
      </w:r>
      <w:proofErr w:type="spellEnd"/>
      <w:r>
        <w:t xml:space="preserve"> (</w:t>
      </w:r>
      <w:hyperlink r:id="rId9">
        <w:r>
          <w:rPr>
            <w:color w:val="1155CC"/>
            <w:u w:val="single"/>
          </w:rPr>
          <w:t>https://cheatsheetseries.owasp.org/cheatsheets/HTTP_Headers_Cheat_Sheet.html</w:t>
        </w:r>
      </w:hyperlink>
      <w:r>
        <w:t xml:space="preserve">) </w:t>
      </w:r>
    </w:p>
    <w:p w14:paraId="4C706EF5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Řešení musí poskytovat auditní logy dle doporučení IHE profilů ATNA nebo BALP, které lze kombinovat s požadavky na logování viz bod 6.</w:t>
      </w:r>
    </w:p>
    <w:p w14:paraId="70C86A18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Funkce rozlišení zdroje zdravotnické </w:t>
      </w:r>
      <w:proofErr w:type="gramStart"/>
      <w:r>
        <w:t>dokumentace - cílem</w:t>
      </w:r>
      <w:proofErr w:type="gramEnd"/>
      <w:r>
        <w:t xml:space="preserve"> je umožnit evidenci, ale zároveň zamezit předávání dokumentů, u kterých není autorem organizace (daná nemocnice). Např. zpráva o výjezdu ZZS nebo vnesená dokumentace pacienta.</w:t>
      </w:r>
    </w:p>
    <w:p w14:paraId="7C962D3F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Řešení musí podporovat elektronickou tvorbu, správu a výměnu (poskytnutí, získání, zobrazení a uložení) dokumentů definovaných v rámci vyhlášky č. 444/2024 Sb. o zdravotnické </w:t>
      </w:r>
      <w:proofErr w:type="gramStart"/>
      <w:r>
        <w:t>dokumentaci</w:t>
      </w:r>
      <w:proofErr w:type="gramEnd"/>
      <w:r>
        <w:t xml:space="preserve"> a to jak pro účel EMERGENCY a TREATMENT (žádost ošetřujícího lékaře) tak pro účel PATIENT (pacient žádá o svůj EHR) a to s rozlišením cíle předávaných dat (vnitrostátní vs. přeshraniční). </w:t>
      </w:r>
    </w:p>
    <w:p w14:paraId="07B2EDA0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Veškeré získané externí EHR ve všech </w:t>
      </w:r>
      <w:proofErr w:type="spellStart"/>
      <w:r>
        <w:t>usecasech</w:t>
      </w:r>
      <w:proofErr w:type="spellEnd"/>
      <w:r>
        <w:t xml:space="preserve"> s příjmem dat budou automaticky založeny do zdravotnické dokumentace daného pacienta u systému, které tyto metody </w:t>
      </w:r>
      <w:proofErr w:type="gramStart"/>
      <w:r>
        <w:t>umožňují - bude</w:t>
      </w:r>
      <w:proofErr w:type="gramEnd"/>
      <w:r>
        <w:t xml:space="preserve"> upřesněno v rámci úvodní analýzy.</w:t>
      </w:r>
    </w:p>
    <w:p w14:paraId="61436BFC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Dodané řešení musí být schopno na základě služeb klientského konektoru </w:t>
      </w:r>
      <w:proofErr w:type="spellStart"/>
      <w:r>
        <w:t>NCPeH</w:t>
      </w:r>
      <w:proofErr w:type="spellEnd"/>
      <w:r>
        <w:t xml:space="preserve"> (role B) nabídnout integrované klientské prostředí (UI) pro identifikaci pacientů v rámci infrastruktury </w:t>
      </w:r>
      <w:proofErr w:type="spellStart"/>
      <w:r>
        <w:t>MyHealth@EU</w:t>
      </w:r>
      <w:proofErr w:type="spellEnd"/>
      <w:r>
        <w:t xml:space="preserve"> (konfigurační služby), jejich vyhledání, získání </w:t>
      </w:r>
      <w:proofErr w:type="gramStart"/>
      <w:r>
        <w:t>a  jeho</w:t>
      </w:r>
      <w:proofErr w:type="gramEnd"/>
      <w:r>
        <w:t xml:space="preserve"> zobrazení a uložení ve zdravotnické dokumentaci včetně správných identifikátorů pacienta-cizince s to jak ve formě </w:t>
      </w:r>
      <w:proofErr w:type="gramStart"/>
      <w:r>
        <w:t>L1</w:t>
      </w:r>
      <w:proofErr w:type="gramEnd"/>
      <w:r>
        <w:t xml:space="preserve"> tak ve formě L3 pro všechny EHR podporované na úrovni </w:t>
      </w:r>
      <w:proofErr w:type="spellStart"/>
      <w:r>
        <w:t>NCPeH</w:t>
      </w:r>
      <w:proofErr w:type="spellEnd"/>
      <w:r>
        <w:t xml:space="preserve"> pro ČR.</w:t>
      </w:r>
    </w:p>
    <w:p w14:paraId="7C7AC870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Součástí dodávky je provedení funkčních testů jednotlivých scénářů a EHR vůči testovací platformě MZ/NCEZ a vůči prostředí </w:t>
      </w:r>
      <w:proofErr w:type="spellStart"/>
      <w:r>
        <w:t>NCPeH</w:t>
      </w:r>
      <w:proofErr w:type="spellEnd"/>
      <w:r>
        <w:t xml:space="preserve"> v souladu s metodikami testování platnými v době předání díla a zapracování případných výhrad a nálezů z testů. Součástí dokumentace díla bude zpráva o provedení testu s výsledkem bez blokujících výhrad.</w:t>
      </w:r>
    </w:p>
    <w:p w14:paraId="7B60A554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Rozhraní pro příjem a předávání EHR bude obsahovat funkci validátoru předávaných dat vůči specifikaci EHR včetně možnosti konfigurace možných akcí v případě nesouladu (blokace, varování).</w:t>
      </w:r>
    </w:p>
    <w:p w14:paraId="144D8574" w14:textId="77777777" w:rsidR="0038322C" w:rsidRDefault="00C72A69">
      <w:pPr>
        <w:numPr>
          <w:ilvl w:val="0"/>
          <w:numId w:val="2"/>
        </w:numPr>
        <w:jc w:val="both"/>
      </w:pPr>
      <w:r>
        <w:t>Součástí dodávky je implementační analýza pro každou organizaci, obsahující:</w:t>
      </w:r>
    </w:p>
    <w:p w14:paraId="7D056171" w14:textId="77777777" w:rsidR="0038322C" w:rsidRDefault="00C72A69">
      <w:pPr>
        <w:numPr>
          <w:ilvl w:val="1"/>
          <w:numId w:val="2"/>
        </w:numPr>
        <w:jc w:val="both"/>
      </w:pPr>
      <w:r>
        <w:t>návrh detailní architektury řešení včetně popisu integrace stávajících systémů organizace. Architektura se skládá minimálně z těchto částí:</w:t>
      </w:r>
    </w:p>
    <w:p w14:paraId="527835FE" w14:textId="77777777" w:rsidR="0038322C" w:rsidRDefault="00C72A69">
      <w:pPr>
        <w:numPr>
          <w:ilvl w:val="2"/>
          <w:numId w:val="2"/>
        </w:numPr>
        <w:jc w:val="both"/>
      </w:pPr>
      <w:r>
        <w:t>Komunikační vrstva (sítě, výměnné protokoly, porty)</w:t>
      </w:r>
    </w:p>
    <w:p w14:paraId="68BC3A8C" w14:textId="77777777" w:rsidR="0038322C" w:rsidRDefault="00C72A69">
      <w:pPr>
        <w:numPr>
          <w:ilvl w:val="2"/>
          <w:numId w:val="2"/>
        </w:numPr>
        <w:jc w:val="both"/>
      </w:pPr>
      <w:r>
        <w:t>Infrastrukturní vrstva (servery, úložiště)</w:t>
      </w:r>
    </w:p>
    <w:p w14:paraId="181EEE92" w14:textId="77777777" w:rsidR="0038322C" w:rsidRDefault="00C72A69">
      <w:pPr>
        <w:numPr>
          <w:ilvl w:val="2"/>
          <w:numId w:val="2"/>
        </w:numPr>
        <w:jc w:val="both"/>
      </w:pPr>
      <w:r>
        <w:t xml:space="preserve">Aplikační vrstva </w:t>
      </w:r>
    </w:p>
    <w:p w14:paraId="75B3051E" w14:textId="77777777" w:rsidR="0038322C" w:rsidRDefault="00C72A69">
      <w:pPr>
        <w:numPr>
          <w:ilvl w:val="2"/>
          <w:numId w:val="2"/>
        </w:numPr>
        <w:jc w:val="both"/>
      </w:pPr>
      <w:proofErr w:type="spellStart"/>
      <w:r>
        <w:t>Bussines</w:t>
      </w:r>
      <w:proofErr w:type="spellEnd"/>
      <w:r>
        <w:t xml:space="preserve"> vrstva (logický model a datové toky)</w:t>
      </w:r>
    </w:p>
    <w:p w14:paraId="6FD844EF" w14:textId="77777777" w:rsidR="0038322C" w:rsidRDefault="00C72A69">
      <w:pPr>
        <w:numPr>
          <w:ilvl w:val="1"/>
          <w:numId w:val="2"/>
        </w:numPr>
        <w:jc w:val="both"/>
      </w:pPr>
      <w:r>
        <w:t>způsob řešení standardizovaných EHR včetně popisu zdrojů dat, datového modelu a návrhu interní metodiky vedení zdravotnické dokumentace</w:t>
      </w:r>
    </w:p>
    <w:p w14:paraId="56D97A89" w14:textId="77777777" w:rsidR="0038322C" w:rsidRDefault="00C72A69">
      <w:pPr>
        <w:numPr>
          <w:ilvl w:val="1"/>
          <w:numId w:val="2"/>
        </w:numPr>
        <w:jc w:val="both"/>
      </w:pPr>
      <w:r>
        <w:lastRenderedPageBreak/>
        <w:t>specifikace API až do úrovně jednotlivých metod, oprávnění a podporovaných scénářů a IHE profilů</w:t>
      </w:r>
    </w:p>
    <w:p w14:paraId="703EC165" w14:textId="77777777" w:rsidR="0038322C" w:rsidRDefault="00C72A69">
      <w:pPr>
        <w:numPr>
          <w:ilvl w:val="1"/>
          <w:numId w:val="2"/>
        </w:numPr>
        <w:jc w:val="both"/>
      </w:pPr>
      <w:r>
        <w:t xml:space="preserve">specifikace nezbytné součinnosti ze strany zadavatele při integraci systému třetích stran </w:t>
      </w:r>
    </w:p>
    <w:p w14:paraId="328E218D" w14:textId="77777777" w:rsidR="0038322C" w:rsidRDefault="00C72A69">
      <w:pPr>
        <w:numPr>
          <w:ilvl w:val="1"/>
          <w:numId w:val="2"/>
        </w:numPr>
        <w:jc w:val="both"/>
      </w:pPr>
      <w:r>
        <w:t>zohlednění metod identifikace pacientů v organizaci (GS1)</w:t>
      </w:r>
    </w:p>
    <w:p w14:paraId="11A9DA65" w14:textId="77777777" w:rsidR="0038322C" w:rsidRDefault="00C72A69">
      <w:pPr>
        <w:numPr>
          <w:ilvl w:val="1"/>
          <w:numId w:val="2"/>
        </w:numPr>
        <w:jc w:val="both"/>
      </w:pPr>
      <w:r>
        <w:t xml:space="preserve">harmonogram implementace zohledňující stav standardizace a stav implementace integrovaných systémů a v souladu s požadavky </w:t>
      </w:r>
      <w:proofErr w:type="spellStart"/>
      <w:r>
        <w:t>SoD</w:t>
      </w:r>
      <w:proofErr w:type="spellEnd"/>
    </w:p>
    <w:p w14:paraId="3C2C02B3" w14:textId="77777777" w:rsidR="0038322C" w:rsidRDefault="00C72A69">
      <w:pPr>
        <w:numPr>
          <w:ilvl w:val="1"/>
          <w:numId w:val="2"/>
        </w:numPr>
        <w:jc w:val="both"/>
      </w:pPr>
      <w:r>
        <w:t>popis datových toků zdravotnické dokumentace včetně metod zpracování, zpřístupnění, míst uložení, klasifikace a její identifikace</w:t>
      </w:r>
    </w:p>
    <w:p w14:paraId="7F7054BB" w14:textId="77777777" w:rsidR="0038322C" w:rsidRDefault="00C72A69">
      <w:pPr>
        <w:numPr>
          <w:ilvl w:val="1"/>
          <w:numId w:val="2"/>
        </w:numPr>
        <w:jc w:val="both"/>
      </w:pPr>
      <w:r>
        <w:t>návrh mechanismů zpřístupnění a případné integrace dříve vytvořených (nestandardizovaných) částí zdravotnické dokumentace do systému výměny dat (např. zpřístupnění jen v L1 formě)</w:t>
      </w:r>
    </w:p>
    <w:p w14:paraId="136F839F" w14:textId="77777777" w:rsidR="0038322C" w:rsidRDefault="00C72A69">
      <w:pPr>
        <w:numPr>
          <w:ilvl w:val="1"/>
          <w:numId w:val="2"/>
        </w:numPr>
        <w:spacing w:line="240" w:lineRule="auto"/>
        <w:jc w:val="both"/>
      </w:pPr>
      <w:r>
        <w:t xml:space="preserve">návrh způsobu údržby dokumentace a záznamů o </w:t>
      </w:r>
      <w:proofErr w:type="spellStart"/>
      <w:r>
        <w:t>change</w:t>
      </w:r>
      <w:proofErr w:type="spellEnd"/>
      <w:r>
        <w:t xml:space="preserve"> managementu včetně návrhu formátu a prostředí</w:t>
      </w:r>
    </w:p>
    <w:p w14:paraId="38191DA4" w14:textId="77777777" w:rsidR="0038322C" w:rsidRDefault="0038322C">
      <w:pPr>
        <w:spacing w:after="240"/>
        <w:ind w:left="1440"/>
        <w:jc w:val="both"/>
      </w:pPr>
    </w:p>
    <w:p w14:paraId="3692DCDE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Veškerá aplikační rozhraní (API) dodaného řešení budou dokumentována pomocí strojově čitelné dokumentace dle </w:t>
      </w:r>
      <w:proofErr w:type="spellStart"/>
      <w:r>
        <w:t>OpenAPI</w:t>
      </w:r>
      <w:proofErr w:type="spellEnd"/>
      <w:r>
        <w:t xml:space="preserve"> specifikace (např. </w:t>
      </w:r>
      <w:proofErr w:type="spellStart"/>
      <w:r>
        <w:t>Swagger</w:t>
      </w:r>
      <w:proofErr w:type="spellEnd"/>
      <w:r>
        <w:t>)</w:t>
      </w:r>
    </w:p>
    <w:p w14:paraId="3C2EF92C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Řešení provádí řádnou identifikaci pacientů i cizinců, jejich ztotožnění vůči Kmenovému registru pacientů, identifikaci uživatelů žádajících o data včetně ztotožnění vůči Kmenovému registru zdravotnických pracovníků a identifikaci zařízení vůči registru poskytovatelů zdravotních služeb. Součástí řešení bude i získání dat o registrujících lékařích a zdravotní pojišťovně pacienta. Tyto funkce jsou realizovány formou otevřeného řešení využitelného i jinými IS organizace, např. MPI.</w:t>
      </w:r>
    </w:p>
    <w:p w14:paraId="0615A83B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Dodané řešení nebude licenčně omezeno ve smyslu času (perpetuální), počtu transakcí, uživatelů ani počtu integrovaných systémů.</w:t>
      </w:r>
    </w:p>
    <w:p w14:paraId="3F5CD3C4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Za rozumnou a vhodnou se považuje využití open source řešení celé dodávky (včetně produkčního prostředí).</w:t>
      </w:r>
    </w:p>
    <w:p w14:paraId="736F8D0F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Dodané řešení musí být ve smyslu komunikace s centrálními službami elektronického zdravotnictví provozovatelné v rámci sítě </w:t>
      </w:r>
      <w:proofErr w:type="gramStart"/>
      <w:r>
        <w:t>CMS2</w:t>
      </w:r>
      <w:proofErr w:type="gramEnd"/>
      <w:r>
        <w:t xml:space="preserve"> a to i v ostrovním režimu bez dostupnosti veřejného internetu. Musí být implementován mechanismus automatického směrování komunikace na aktuálně dostupné rozhraní dané služby (internet vs. CMS2, primární vs. sekundární </w:t>
      </w:r>
      <w:proofErr w:type="gramStart"/>
      <w:r>
        <w:t>rozhraní,</w:t>
      </w:r>
      <w:proofErr w:type="gramEnd"/>
      <w:r>
        <w:t xml:space="preserve"> apod.)</w:t>
      </w:r>
    </w:p>
    <w:p w14:paraId="64C0E484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>Dodané řešení musí integrovat systém správy souhlasů a mechanismus zastupování v návaznosti na Registr oprávnění a REZA.</w:t>
      </w:r>
    </w:p>
    <w:p w14:paraId="6F594B68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Implementace povinných mechanismů zápisu údajů do Žurnálu činností minimálně v rozsahu komunikace s externími systémy. </w:t>
      </w:r>
    </w:p>
    <w:p w14:paraId="7C902E5E" w14:textId="77777777" w:rsidR="0038322C" w:rsidRDefault="00C72A69">
      <w:pPr>
        <w:numPr>
          <w:ilvl w:val="0"/>
          <w:numId w:val="2"/>
        </w:numPr>
        <w:spacing w:after="240"/>
        <w:jc w:val="both"/>
      </w:pPr>
      <w:r>
        <w:t xml:space="preserve">Dodané řešení umožňuje oprávněným a zaškoleným administrátorům zadavatele samostatně konfigurovat integrační vazby a </w:t>
      </w:r>
      <w:proofErr w:type="gramStart"/>
      <w:r>
        <w:t>nástroje  včetně</w:t>
      </w:r>
      <w:proofErr w:type="gramEnd"/>
      <w:r>
        <w:t xml:space="preserve"> definice datových zdrojů (např. nová API NIS, LIS, PACS), definovat pravidla čerpání dat, jejich transformace (mapování DASTA, HL7 CDA/FHIR, mapování nomenklatury, validace) a směrování dat (např. publikace jiným API, předání dat do dalších systémů typu NZIS, portál </w:t>
      </w:r>
      <w:r>
        <w:lastRenderedPageBreak/>
        <w:t xml:space="preserve">pacienta atd) bez zásahu dodavatele. Konfigurace musí být možná prostřednictvím přehledného webového rozhraní, nástroje typu grafický </w:t>
      </w:r>
      <w:proofErr w:type="spellStart"/>
      <w:r>
        <w:t>orchestrátor</w:t>
      </w:r>
      <w:proofErr w:type="spellEnd"/>
      <w:r>
        <w:t xml:space="preserve"> případně skriptovací jazyk. </w:t>
      </w:r>
    </w:p>
    <w:p w14:paraId="3D39DA58" w14:textId="074B2974" w:rsidR="00425898" w:rsidRDefault="00425898">
      <w:pPr>
        <w:numPr>
          <w:ilvl w:val="0"/>
          <w:numId w:val="2"/>
        </w:numPr>
        <w:spacing w:after="240"/>
        <w:jc w:val="both"/>
      </w:pPr>
      <w:r>
        <w:t>Integrace Notifikačních služeb jako centrální služby elektronického zdravotnictví minimálně pro úlohy: avíza pacientům a lékařům v okamžiku vytvoření zprávy z laboratorního vyšetření a zprávy z obrazového vyšetření.</w:t>
      </w:r>
    </w:p>
    <w:p w14:paraId="0B2B8157" w14:textId="77777777" w:rsidR="0038322C" w:rsidRDefault="00C72A69">
      <w:pPr>
        <w:numPr>
          <w:ilvl w:val="0"/>
          <w:numId w:val="2"/>
        </w:numPr>
        <w:jc w:val="both"/>
      </w:pPr>
      <w:r>
        <w:t xml:space="preserve">Součástí dodávky řešení musí být bezpečnostně provozní dokumentace v tomto rozsahu: </w:t>
      </w:r>
    </w:p>
    <w:p w14:paraId="1F0D8F85" w14:textId="77777777" w:rsidR="0038322C" w:rsidRDefault="00C72A69">
      <w:pPr>
        <w:numPr>
          <w:ilvl w:val="1"/>
          <w:numId w:val="2"/>
        </w:numPr>
        <w:jc w:val="both"/>
      </w:pPr>
      <w:r>
        <w:t xml:space="preserve">Analýza rizik </w:t>
      </w:r>
    </w:p>
    <w:p w14:paraId="66479B89" w14:textId="77777777" w:rsidR="0038322C" w:rsidRDefault="00C72A69">
      <w:pPr>
        <w:numPr>
          <w:ilvl w:val="2"/>
          <w:numId w:val="2"/>
        </w:numPr>
        <w:jc w:val="both"/>
      </w:pPr>
      <w:r>
        <w:t xml:space="preserve">součástí dodávky bude podrobné a komplexní provedení analýzy rizik informační bezpečnosti v souvislosti jak s nasazením řešení (informačního aktiva), tak i s jeho provozem. Analýza rizik informační bezpečnosti musí být zpracována před nasazením do provozního režimu. Zhotovitel/dodavatel vypracuje a předá objednateli: </w:t>
      </w:r>
    </w:p>
    <w:p w14:paraId="6426B5C7" w14:textId="77777777" w:rsidR="0038322C" w:rsidRDefault="00C72A69">
      <w:pPr>
        <w:numPr>
          <w:ilvl w:val="3"/>
          <w:numId w:val="2"/>
        </w:numPr>
        <w:jc w:val="both"/>
      </w:pPr>
      <w:r>
        <w:t xml:space="preserve">zdokumentovaný postup provedení analýzy rizik (metodiku, jak postupoval), </w:t>
      </w:r>
    </w:p>
    <w:p w14:paraId="3C18796C" w14:textId="77777777" w:rsidR="0038322C" w:rsidRDefault="00C72A69">
      <w:pPr>
        <w:numPr>
          <w:ilvl w:val="3"/>
          <w:numId w:val="2"/>
        </w:numPr>
        <w:jc w:val="both"/>
      </w:pPr>
      <w:r>
        <w:t xml:space="preserve">zprávu z analýzy rizik obsahující vydefinovaná a klasifikovaná rizika, která jsou určena na základě míry dopadu, pravděpodobnosti výskytu zranitelnosti a pravděpodobnosti naplnění hrozby, a popis těchto rizik, </w:t>
      </w:r>
    </w:p>
    <w:p w14:paraId="11F6EDD1" w14:textId="77777777" w:rsidR="0038322C" w:rsidRDefault="00C72A69">
      <w:pPr>
        <w:numPr>
          <w:ilvl w:val="3"/>
          <w:numId w:val="2"/>
        </w:numPr>
        <w:jc w:val="both"/>
      </w:pPr>
      <w:r>
        <w:t xml:space="preserve">plán zvládání rizik s návrhy opatření na snížení míry případných rizik včetně popisu způsobu jejich nasazení. </w:t>
      </w:r>
    </w:p>
    <w:p w14:paraId="490E2CA3" w14:textId="77777777" w:rsidR="0038322C" w:rsidRDefault="00C72A69">
      <w:pPr>
        <w:numPr>
          <w:ilvl w:val="2"/>
          <w:numId w:val="2"/>
        </w:numPr>
        <w:jc w:val="both"/>
      </w:pPr>
      <w:r>
        <w:t xml:space="preserve">Objednatel bude schvalovat výstupy z provedené analýzy rizik před nasazením řešení (informačního aktiva) do provozního režimu formou akceptačního protokolu. </w:t>
      </w:r>
    </w:p>
    <w:p w14:paraId="3FD34E85" w14:textId="77777777" w:rsidR="0038322C" w:rsidRDefault="00C72A69">
      <w:pPr>
        <w:numPr>
          <w:ilvl w:val="1"/>
          <w:numId w:val="2"/>
        </w:numPr>
        <w:jc w:val="both"/>
      </w:pPr>
      <w:r>
        <w:t xml:space="preserve">Bezpečnostní specifikace systému </w:t>
      </w:r>
    </w:p>
    <w:p w14:paraId="28780DF9" w14:textId="77777777" w:rsidR="0038322C" w:rsidRDefault="00C72A69">
      <w:pPr>
        <w:numPr>
          <w:ilvl w:val="2"/>
          <w:numId w:val="2"/>
        </w:numPr>
        <w:jc w:val="both"/>
      </w:pPr>
      <w:r>
        <w:t xml:space="preserve">Cíl dokumentu: popsat a zdokumentovat veškeré bezpečnostní mechanizmy a opatření za účelem identifikace toho, jaká data jsou jakým způsobem chráněna. </w:t>
      </w:r>
    </w:p>
    <w:p w14:paraId="20BCD224" w14:textId="77777777" w:rsidR="0038322C" w:rsidRDefault="00C72A69">
      <w:pPr>
        <w:numPr>
          <w:ilvl w:val="2"/>
          <w:numId w:val="2"/>
        </w:numPr>
        <w:jc w:val="both"/>
      </w:pPr>
      <w:r>
        <w:t xml:space="preserve">Forma dokumentu: textový popis  </w:t>
      </w:r>
    </w:p>
    <w:p w14:paraId="06D669E7" w14:textId="77777777" w:rsidR="0038322C" w:rsidRDefault="00C72A69">
      <w:pPr>
        <w:numPr>
          <w:ilvl w:val="2"/>
          <w:numId w:val="2"/>
        </w:numPr>
        <w:jc w:val="both"/>
      </w:pPr>
      <w:r>
        <w:t xml:space="preserve">Minimální rozsah: </w:t>
      </w:r>
    </w:p>
    <w:p w14:paraId="6AA96695" w14:textId="77777777" w:rsidR="0038322C" w:rsidRDefault="00C72A69">
      <w:pPr>
        <w:numPr>
          <w:ilvl w:val="3"/>
          <w:numId w:val="2"/>
        </w:numPr>
        <w:jc w:val="both"/>
      </w:pPr>
      <w:r>
        <w:t xml:space="preserve">Soupis a popis všech funkcí prosazujících bezpečnost pro: </w:t>
      </w:r>
    </w:p>
    <w:p w14:paraId="7FD14DA6" w14:textId="77777777" w:rsidR="0038322C" w:rsidRDefault="00C72A69">
      <w:pPr>
        <w:numPr>
          <w:ilvl w:val="4"/>
          <w:numId w:val="2"/>
        </w:numPr>
        <w:jc w:val="both"/>
      </w:pPr>
      <w:r>
        <w:t xml:space="preserve">zajištění integrity dat při jejich přenosu a uložení, </w:t>
      </w:r>
    </w:p>
    <w:p w14:paraId="1B9CCC3F" w14:textId="77777777" w:rsidR="0038322C" w:rsidRDefault="00C72A69">
      <w:pPr>
        <w:numPr>
          <w:ilvl w:val="4"/>
          <w:numId w:val="2"/>
        </w:numPr>
        <w:jc w:val="both"/>
      </w:pPr>
      <w:r>
        <w:t xml:space="preserve">zajištění důvěrnosti dat při jejich přenosu a uložení, </w:t>
      </w:r>
    </w:p>
    <w:p w14:paraId="695458F0" w14:textId="77777777" w:rsidR="0038322C" w:rsidRDefault="00C72A69">
      <w:pPr>
        <w:numPr>
          <w:ilvl w:val="4"/>
          <w:numId w:val="2"/>
        </w:numPr>
        <w:jc w:val="both"/>
      </w:pPr>
      <w:r>
        <w:t xml:space="preserve">zajištění autentizace a session managementu, </w:t>
      </w:r>
    </w:p>
    <w:p w14:paraId="63E4D709" w14:textId="77777777" w:rsidR="0038322C" w:rsidRDefault="00C72A69">
      <w:pPr>
        <w:numPr>
          <w:ilvl w:val="4"/>
          <w:numId w:val="2"/>
        </w:numPr>
        <w:jc w:val="both"/>
      </w:pPr>
      <w:r>
        <w:t xml:space="preserve">zajištění ošetření, filtrování a prověřování veškerých vstupních dat, </w:t>
      </w:r>
    </w:p>
    <w:p w14:paraId="5D1A6B08" w14:textId="77777777" w:rsidR="0038322C" w:rsidRDefault="00C72A69">
      <w:pPr>
        <w:numPr>
          <w:ilvl w:val="4"/>
          <w:numId w:val="2"/>
        </w:numPr>
        <w:jc w:val="both"/>
      </w:pPr>
      <w:r>
        <w:t xml:space="preserve">zajištění auditní stopy a logování, </w:t>
      </w:r>
    </w:p>
    <w:p w14:paraId="5988E7EC" w14:textId="77777777" w:rsidR="0038322C" w:rsidRDefault="00C72A69">
      <w:pPr>
        <w:numPr>
          <w:ilvl w:val="4"/>
          <w:numId w:val="2"/>
        </w:numPr>
        <w:jc w:val="both"/>
      </w:pPr>
      <w:r>
        <w:t xml:space="preserve">externí rozhraní – jak uživatelská, tak pro komunikaci s externími systémy. </w:t>
      </w:r>
    </w:p>
    <w:p w14:paraId="743636A7" w14:textId="77777777" w:rsidR="0038322C" w:rsidRDefault="00C72A69">
      <w:pPr>
        <w:numPr>
          <w:ilvl w:val="3"/>
          <w:numId w:val="2"/>
        </w:numPr>
        <w:jc w:val="both"/>
      </w:pPr>
      <w:r>
        <w:t xml:space="preserve">Popis těchto oblastí: </w:t>
      </w:r>
    </w:p>
    <w:p w14:paraId="5EDB906A" w14:textId="77777777" w:rsidR="0038322C" w:rsidRDefault="00C72A69">
      <w:pPr>
        <w:numPr>
          <w:ilvl w:val="4"/>
          <w:numId w:val="2"/>
        </w:numPr>
        <w:jc w:val="both"/>
      </w:pPr>
      <w:r>
        <w:t xml:space="preserve">použité kryptografické funkce a algoritmy, </w:t>
      </w:r>
    </w:p>
    <w:p w14:paraId="28401424" w14:textId="77777777" w:rsidR="0038322C" w:rsidRDefault="00C72A69">
      <w:pPr>
        <w:numPr>
          <w:ilvl w:val="4"/>
          <w:numId w:val="2"/>
        </w:numPr>
        <w:jc w:val="both"/>
      </w:pPr>
      <w:r>
        <w:t xml:space="preserve">autentizační a autorizační model a mechanizmus, </w:t>
      </w:r>
    </w:p>
    <w:p w14:paraId="3D51768E" w14:textId="77777777" w:rsidR="0038322C" w:rsidRDefault="00C72A69">
      <w:pPr>
        <w:numPr>
          <w:ilvl w:val="4"/>
          <w:numId w:val="2"/>
        </w:numPr>
        <w:jc w:val="both"/>
      </w:pPr>
      <w:r>
        <w:t xml:space="preserve">řízení uživatelských a privilegovaných rolí a oprávnění </w:t>
      </w:r>
    </w:p>
    <w:p w14:paraId="793DF861" w14:textId="77777777" w:rsidR="0038322C" w:rsidRDefault="00C72A69">
      <w:pPr>
        <w:numPr>
          <w:ilvl w:val="4"/>
          <w:numId w:val="2"/>
        </w:numPr>
        <w:jc w:val="both"/>
      </w:pPr>
      <w:r>
        <w:t xml:space="preserve">detailní popis úrovně všech přístupových oprávnění/aplikačních rolí, </w:t>
      </w:r>
    </w:p>
    <w:p w14:paraId="596E966D" w14:textId="77777777" w:rsidR="0038322C" w:rsidRDefault="00C72A69">
      <w:pPr>
        <w:numPr>
          <w:ilvl w:val="4"/>
          <w:numId w:val="2"/>
        </w:numPr>
        <w:jc w:val="both"/>
      </w:pPr>
      <w:r>
        <w:lastRenderedPageBreak/>
        <w:t xml:space="preserve">způsob zajištění dostupnosti, důvěrnosti a integrity dat ve stavech jejich uložení/uchování, zpracování a přenosu, </w:t>
      </w:r>
    </w:p>
    <w:p w14:paraId="028DB0BD" w14:textId="77777777" w:rsidR="0038322C" w:rsidRDefault="00C72A69">
      <w:pPr>
        <w:numPr>
          <w:ilvl w:val="4"/>
          <w:numId w:val="2"/>
        </w:numPr>
        <w:jc w:val="both"/>
      </w:pPr>
      <w:r>
        <w:t xml:space="preserve">bezpečnostní architektura infrastruktury. </w:t>
      </w:r>
    </w:p>
    <w:p w14:paraId="10C1EDAC" w14:textId="77777777" w:rsidR="0038322C" w:rsidRDefault="00C72A69">
      <w:pPr>
        <w:numPr>
          <w:ilvl w:val="1"/>
          <w:numId w:val="2"/>
        </w:numPr>
        <w:jc w:val="both"/>
      </w:pPr>
      <w:r>
        <w:t xml:space="preserve">Instalace systému </w:t>
      </w:r>
    </w:p>
    <w:p w14:paraId="7AC79D00" w14:textId="77777777" w:rsidR="0038322C" w:rsidRDefault="00C72A69">
      <w:pPr>
        <w:numPr>
          <w:ilvl w:val="2"/>
          <w:numId w:val="2"/>
        </w:numPr>
        <w:jc w:val="both"/>
      </w:pPr>
      <w:r>
        <w:t xml:space="preserve">Cíl dokumentu: popsat a zdokumentovat postupy, kroky a činnosti vedoucí k instalaci těch částí systému, které jsou instalované on-premise. </w:t>
      </w:r>
    </w:p>
    <w:p w14:paraId="56DEFEB6" w14:textId="77777777" w:rsidR="0038322C" w:rsidRDefault="00C72A69">
      <w:pPr>
        <w:numPr>
          <w:ilvl w:val="1"/>
          <w:numId w:val="2"/>
        </w:numPr>
        <w:jc w:val="both"/>
      </w:pPr>
      <w:r>
        <w:t xml:space="preserve">Základní konfigurace </w:t>
      </w:r>
    </w:p>
    <w:p w14:paraId="43DE73BE" w14:textId="77777777" w:rsidR="0038322C" w:rsidRDefault="00C72A69">
      <w:pPr>
        <w:numPr>
          <w:ilvl w:val="2"/>
          <w:numId w:val="2"/>
        </w:numPr>
        <w:jc w:val="both"/>
      </w:pPr>
      <w:r>
        <w:t xml:space="preserve">Cíl dokumentu: popsat a zdokumentovat postupy, které vedou k nastavení systému do takového stavu, aby bylo možné systém po instalaci provozovat na základní úrovni. </w:t>
      </w:r>
    </w:p>
    <w:p w14:paraId="480B21E1" w14:textId="77777777" w:rsidR="0038322C" w:rsidRDefault="00C72A69">
      <w:pPr>
        <w:numPr>
          <w:ilvl w:val="1"/>
          <w:numId w:val="2"/>
        </w:numPr>
        <w:jc w:val="both"/>
      </w:pPr>
      <w:r>
        <w:t xml:space="preserve">Záloha, obnova, restart </w:t>
      </w:r>
    </w:p>
    <w:p w14:paraId="6E1F971E" w14:textId="77777777" w:rsidR="0038322C" w:rsidRDefault="00C72A69">
      <w:pPr>
        <w:numPr>
          <w:ilvl w:val="2"/>
          <w:numId w:val="2"/>
        </w:numPr>
        <w:jc w:val="both"/>
      </w:pPr>
      <w:r>
        <w:t>Cíl dokumentu: popsat a zdokumentovat strategii zálohování systému, resp. návrh strategie zálohování od dodavatele, způsoby obnovy systému po havárii nebo ze zálohy, postupy a konkrétní kroky, které povedou k bezpečnému restartu systému.</w:t>
      </w:r>
    </w:p>
    <w:p w14:paraId="4CF546B2" w14:textId="77777777" w:rsidR="0038322C" w:rsidRDefault="00C72A69">
      <w:pPr>
        <w:numPr>
          <w:ilvl w:val="2"/>
          <w:numId w:val="2"/>
        </w:numPr>
        <w:jc w:val="both"/>
      </w:pPr>
      <w:r>
        <w:t xml:space="preserve">Zálohování </w:t>
      </w:r>
    </w:p>
    <w:p w14:paraId="78A5EA9C" w14:textId="77777777" w:rsidR="0038322C" w:rsidRDefault="00C72A69">
      <w:pPr>
        <w:numPr>
          <w:ilvl w:val="3"/>
          <w:numId w:val="2"/>
        </w:numPr>
        <w:jc w:val="both"/>
      </w:pPr>
      <w:r>
        <w:t xml:space="preserve">Strategie zálohování systému navržená dodavatelem </w:t>
      </w:r>
    </w:p>
    <w:p w14:paraId="10265B9C" w14:textId="77777777" w:rsidR="0038322C" w:rsidRDefault="00C72A69">
      <w:pPr>
        <w:numPr>
          <w:ilvl w:val="2"/>
          <w:numId w:val="2"/>
        </w:numPr>
        <w:jc w:val="both"/>
      </w:pPr>
      <w:r>
        <w:t xml:space="preserve">Obnova </w:t>
      </w:r>
    </w:p>
    <w:p w14:paraId="2A9529BE" w14:textId="77777777" w:rsidR="0038322C" w:rsidRDefault="00C72A69">
      <w:pPr>
        <w:numPr>
          <w:ilvl w:val="3"/>
          <w:numId w:val="2"/>
        </w:numPr>
        <w:jc w:val="both"/>
      </w:pPr>
      <w:r>
        <w:t xml:space="preserve">Posloupnost kroků (co a jak udělat), které je třeba provést pro obnovu systému nebo jeho části či dat ze zálohy do jeho plně funkčního stavu </w:t>
      </w:r>
    </w:p>
    <w:p w14:paraId="376F2F19" w14:textId="77777777" w:rsidR="0038322C" w:rsidRDefault="00C72A69">
      <w:pPr>
        <w:numPr>
          <w:ilvl w:val="3"/>
          <w:numId w:val="2"/>
        </w:numPr>
        <w:jc w:val="both"/>
      </w:pPr>
      <w:r>
        <w:t xml:space="preserve">Zpracovaný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plán, tedy posloupnost kroků (co a jak udělat), které je třeba provést pro obnovu systému po jeho selhání do jeho plně funkčního stavu </w:t>
      </w:r>
    </w:p>
    <w:p w14:paraId="3F6E9A17" w14:textId="77777777" w:rsidR="0038322C" w:rsidRDefault="00C72A69">
      <w:pPr>
        <w:numPr>
          <w:ilvl w:val="3"/>
          <w:numId w:val="2"/>
        </w:numPr>
        <w:jc w:val="both"/>
      </w:pPr>
      <w:r>
        <w:t xml:space="preserve">Včetně potřebných zdrojů, jako je např. SW, HW, přístupové údaje, data, parametry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</w:t>
      </w:r>
      <w:proofErr w:type="gramStart"/>
      <w:r>
        <w:t>prostředí,</w:t>
      </w:r>
      <w:proofErr w:type="gramEnd"/>
      <w:r>
        <w:t xml:space="preserve"> apod. </w:t>
      </w:r>
    </w:p>
    <w:p w14:paraId="111A2D30" w14:textId="77777777" w:rsidR="0038322C" w:rsidRDefault="00C72A69">
      <w:pPr>
        <w:numPr>
          <w:ilvl w:val="2"/>
          <w:numId w:val="2"/>
        </w:numPr>
        <w:jc w:val="both"/>
      </w:pPr>
      <w:r>
        <w:t xml:space="preserve">Restart </w:t>
      </w:r>
    </w:p>
    <w:p w14:paraId="34445332" w14:textId="77777777" w:rsidR="0038322C" w:rsidRDefault="00C72A69">
      <w:pPr>
        <w:numPr>
          <w:ilvl w:val="3"/>
          <w:numId w:val="2"/>
        </w:numPr>
        <w:jc w:val="both"/>
      </w:pPr>
      <w:r>
        <w:t xml:space="preserve">Posloupnost kroků (co a jak udělat), které je třeba provést pro bezpečné restartování systému tak, aby naběhl do původního stavu </w:t>
      </w:r>
    </w:p>
    <w:p w14:paraId="3C3866F4" w14:textId="77777777" w:rsidR="0038322C" w:rsidRDefault="00C72A69">
      <w:pPr>
        <w:numPr>
          <w:ilvl w:val="1"/>
          <w:numId w:val="2"/>
        </w:numPr>
        <w:jc w:val="both"/>
      </w:pPr>
      <w:r>
        <w:t xml:space="preserve">Monitoring </w:t>
      </w:r>
    </w:p>
    <w:p w14:paraId="5AD2648C" w14:textId="77777777" w:rsidR="0038322C" w:rsidRDefault="00C72A69">
      <w:pPr>
        <w:numPr>
          <w:ilvl w:val="2"/>
          <w:numId w:val="2"/>
        </w:numPr>
        <w:jc w:val="both"/>
      </w:pPr>
      <w:r>
        <w:t>Cíl dokumentu: popsat a zdokumentovat mechanizmus monitorování a zaznamenávání bezpečnostních a provozních logů a auditních událostí.</w:t>
      </w:r>
    </w:p>
    <w:p w14:paraId="54683AC1" w14:textId="77777777" w:rsidR="0038322C" w:rsidRDefault="00C72A69">
      <w:pPr>
        <w:numPr>
          <w:ilvl w:val="2"/>
          <w:numId w:val="2"/>
        </w:numPr>
        <w:jc w:val="both"/>
      </w:pPr>
      <w:r>
        <w:t xml:space="preserve">Popis logů informačního aktiva, jejich formát, umístění včetně cest, přístupnost a možnosti integrace na jiné systémy (SIEM, </w:t>
      </w:r>
      <w:proofErr w:type="spellStart"/>
      <w:proofErr w:type="gramStart"/>
      <w:r>
        <w:t>logmanagement</w:t>
      </w:r>
      <w:proofErr w:type="spellEnd"/>
      <w:r>
        <w:t>,</w:t>
      </w:r>
      <w:proofErr w:type="gramEnd"/>
      <w:r>
        <w:t xml:space="preserve"> </w:t>
      </w:r>
      <w:proofErr w:type="gramStart"/>
      <w:r>
        <w:t>apod. )</w:t>
      </w:r>
      <w:proofErr w:type="gramEnd"/>
      <w:r>
        <w:t xml:space="preserve">  </w:t>
      </w:r>
    </w:p>
    <w:p w14:paraId="3DA2ED88" w14:textId="77777777" w:rsidR="0038322C" w:rsidRDefault="00C72A69">
      <w:pPr>
        <w:numPr>
          <w:ilvl w:val="2"/>
          <w:numId w:val="2"/>
        </w:numPr>
        <w:jc w:val="both"/>
      </w:pPr>
      <w:r>
        <w:t xml:space="preserve">Popis možností provozního monitoringu (např. SNMP, síťový monitoring, aplikační monitoring) a návrh monitorovaných parametrů/metrik za účelem bezpečného provozování řešení </w:t>
      </w:r>
    </w:p>
    <w:p w14:paraId="2E7F5811" w14:textId="77777777" w:rsidR="0038322C" w:rsidRDefault="00C72A69">
      <w:pPr>
        <w:numPr>
          <w:ilvl w:val="1"/>
          <w:numId w:val="2"/>
        </w:numPr>
        <w:jc w:val="both"/>
      </w:pPr>
      <w:r>
        <w:t xml:space="preserve">Popis klíčových komponent </w:t>
      </w:r>
    </w:p>
    <w:p w14:paraId="66625FF6" w14:textId="77777777" w:rsidR="0038322C" w:rsidRDefault="00C72A69">
      <w:pPr>
        <w:numPr>
          <w:ilvl w:val="2"/>
          <w:numId w:val="2"/>
        </w:numPr>
        <w:spacing w:after="240"/>
        <w:jc w:val="both"/>
      </w:pPr>
      <w:r>
        <w:t xml:space="preserve">Cíl dokumentu: popsat a zdokumentovat účel, význam, úlohu a způsob použití klíčových komponent systému </w:t>
      </w:r>
    </w:p>
    <w:p w14:paraId="2933BEE2" w14:textId="77777777" w:rsidR="00661B8B" w:rsidRDefault="00661B8B">
      <w:pPr>
        <w:rPr>
          <w:b/>
          <w:bCs/>
        </w:rPr>
      </w:pPr>
      <w:r>
        <w:rPr>
          <w:b/>
          <w:bCs/>
        </w:rPr>
        <w:br w:type="page"/>
      </w:r>
    </w:p>
    <w:p w14:paraId="760E9BAE" w14:textId="45755918" w:rsidR="0038322C" w:rsidRPr="00495CED" w:rsidRDefault="00661B8B" w:rsidP="00661B8B">
      <w:pPr>
        <w:spacing w:after="240"/>
        <w:rPr>
          <w:b/>
          <w:bCs/>
        </w:rPr>
      </w:pPr>
      <w:r>
        <w:rPr>
          <w:b/>
          <w:bCs/>
        </w:rPr>
        <w:lastRenderedPageBreak/>
        <w:t>Přehled</w:t>
      </w:r>
      <w:r w:rsidR="00C72A69" w:rsidRPr="00495CED">
        <w:rPr>
          <w:b/>
          <w:bCs/>
        </w:rPr>
        <w:t xml:space="preserve"> systémů, jejichž integrace je předmětem dodávky:</w:t>
      </w:r>
    </w:p>
    <w:tbl>
      <w:tblPr>
        <w:tblStyle w:val="a"/>
        <w:tblW w:w="95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035"/>
        <w:gridCol w:w="1275"/>
        <w:gridCol w:w="1080"/>
        <w:gridCol w:w="1080"/>
        <w:gridCol w:w="1080"/>
        <w:gridCol w:w="1080"/>
        <w:gridCol w:w="1650"/>
      </w:tblGrid>
      <w:tr w:rsidR="0038322C" w14:paraId="696474D1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760FE" w14:textId="6D366AD0" w:rsidR="0038322C" w:rsidRPr="00121AAA" w:rsidRDefault="00121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IS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0B0A3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NemJI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5382D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NemHB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903D1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NemPE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45139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NemTR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CF1EA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NemNM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981BD" w14:textId="77777777" w:rsidR="0038322C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Komunikační formát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006F" w14:textId="77777777" w:rsidR="0038322C" w:rsidRDefault="00C72A6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Datové rozhraní</w:t>
            </w:r>
          </w:p>
        </w:tc>
      </w:tr>
      <w:tr w:rsidR="0038322C" w14:paraId="25E33A85" w14:textId="77777777">
        <w:trPr>
          <w:trHeight w:val="522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759A" w14:textId="77777777" w:rsidR="0038322C" w:rsidRPr="00121AAA" w:rsidRDefault="00C72A69">
            <w:pPr>
              <w:widowControl w:val="0"/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NIS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68292" w14:textId="77777777" w:rsidR="0038322C" w:rsidRDefault="00C72A6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t xml:space="preserve">FONS FE </w:t>
            </w:r>
            <w:r>
              <w:rPr>
                <w:sz w:val="16"/>
                <w:szCs w:val="16"/>
              </w:rPr>
              <w:t>(STAPRO s. r. o.)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BC48C" w14:textId="77777777" w:rsidR="0038322C" w:rsidRDefault="00C72A69">
            <w:pPr>
              <w:widowControl w:val="0"/>
              <w:spacing w:line="240" w:lineRule="auto"/>
            </w:pPr>
            <w:r>
              <w:t>FONS FE</w:t>
            </w:r>
          </w:p>
          <w:p w14:paraId="1A0020D4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2322" w14:textId="77777777" w:rsidR="0038322C" w:rsidRDefault="00C72A69">
            <w:pPr>
              <w:widowControl w:val="0"/>
              <w:spacing w:line="240" w:lineRule="auto"/>
            </w:pPr>
            <w:r>
              <w:t xml:space="preserve">FONS FE </w:t>
            </w: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89914" w14:textId="77777777" w:rsidR="0038322C" w:rsidRDefault="00C72A69">
            <w:pPr>
              <w:widowControl w:val="0"/>
              <w:spacing w:line="240" w:lineRule="auto"/>
            </w:pPr>
            <w:r>
              <w:t xml:space="preserve">FONS FE </w:t>
            </w: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58A48" w14:textId="77777777" w:rsidR="0038322C" w:rsidRDefault="00C72A69">
            <w:pPr>
              <w:widowControl w:val="0"/>
              <w:spacing w:line="240" w:lineRule="auto"/>
            </w:pPr>
            <w:r>
              <w:t xml:space="preserve">FONS FE </w:t>
            </w: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6A2ED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Dasta</w:t>
            </w:r>
            <w:proofErr w:type="spellEnd"/>
            <w:r>
              <w:t xml:space="preserve"> 3, </w:t>
            </w:r>
            <w:proofErr w:type="spellStart"/>
            <w:r>
              <w:t>Dasta</w:t>
            </w:r>
            <w:proofErr w:type="spellEnd"/>
            <w:r>
              <w:t xml:space="preserve"> 4, HL7 CDA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55D5" w14:textId="77777777" w:rsidR="0038322C" w:rsidRDefault="00C72A69">
            <w:pPr>
              <w:widowControl w:val="0"/>
              <w:spacing w:line="240" w:lineRule="auto"/>
            </w:pPr>
            <w:hyperlink r:id="rId10">
              <w:r>
                <w:rPr>
                  <w:color w:val="1155CC"/>
                  <w:u w:val="single"/>
                </w:rPr>
                <w:t>Dokumentace FONS FE</w:t>
              </w:r>
            </w:hyperlink>
          </w:p>
          <w:p w14:paraId="6CAAC755" w14:textId="77777777" w:rsidR="0038322C" w:rsidRDefault="0038322C">
            <w:pPr>
              <w:widowControl w:val="0"/>
              <w:spacing w:line="240" w:lineRule="auto"/>
            </w:pPr>
          </w:p>
          <w:p w14:paraId="6EAE0ADA" w14:textId="77777777" w:rsidR="0038322C" w:rsidRDefault="00C72A69">
            <w:pPr>
              <w:widowControl w:val="0"/>
              <w:spacing w:line="240" w:lineRule="auto"/>
            </w:pPr>
            <w:hyperlink r:id="rId11">
              <w:r>
                <w:rPr>
                  <w:color w:val="1155CC"/>
                  <w:sz w:val="21"/>
                  <w:szCs w:val="21"/>
                  <w:highlight w:val="white"/>
                  <w:u w:val="single"/>
                </w:rPr>
                <w:t xml:space="preserve">Rozcestník centrálního </w:t>
              </w:r>
              <w:proofErr w:type="spellStart"/>
              <w:r>
                <w:rPr>
                  <w:color w:val="1155CC"/>
                  <w:sz w:val="21"/>
                  <w:szCs w:val="21"/>
                  <w:highlight w:val="white"/>
                  <w:u w:val="single"/>
                </w:rPr>
                <w:t>FEApi</w:t>
              </w:r>
              <w:proofErr w:type="spellEnd"/>
              <w:r>
                <w:rPr>
                  <w:color w:val="1155CC"/>
                  <w:sz w:val="21"/>
                  <w:szCs w:val="21"/>
                  <w:highlight w:val="white"/>
                  <w:u w:val="single"/>
                </w:rPr>
                <w:t xml:space="preserve"> </w:t>
              </w:r>
            </w:hyperlink>
          </w:p>
        </w:tc>
      </w:tr>
      <w:tr w:rsidR="0038322C" w14:paraId="466D3B83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8B465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LIS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D4363" w14:textId="77777777" w:rsidR="0038322C" w:rsidRDefault="00C72A69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t>Envis</w:t>
            </w:r>
            <w:proofErr w:type="spellEnd"/>
            <w:r>
              <w:t xml:space="preserve"> </w:t>
            </w:r>
            <w:r>
              <w:rPr>
                <w:sz w:val="16"/>
                <w:szCs w:val="16"/>
              </w:rPr>
              <w:t>(DS Soft Olomouc, spol. s r.o.)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EE562" w14:textId="77777777" w:rsidR="0038322C" w:rsidRDefault="00C72A69">
            <w:pPr>
              <w:widowControl w:val="0"/>
              <w:spacing w:line="240" w:lineRule="auto"/>
            </w:pPr>
            <w:r>
              <w:t xml:space="preserve">Amadeus </w:t>
            </w:r>
            <w:proofErr w:type="spellStart"/>
            <w:r>
              <w:t>Orpheus</w:t>
            </w:r>
            <w:proofErr w:type="spellEnd"/>
          </w:p>
          <w:p w14:paraId="6FC2D82F" w14:textId="77777777" w:rsidR="0038322C" w:rsidRDefault="00C72A69">
            <w:pPr>
              <w:widowControl w:val="0"/>
              <w:spacing w:line="240" w:lineRule="auto"/>
            </w:pPr>
            <w:r>
              <w:t xml:space="preserve">Steiner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C7F62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OpenLims</w:t>
            </w:r>
            <w:proofErr w:type="spellEnd"/>
          </w:p>
          <w:p w14:paraId="2BDF9344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682D" w14:textId="77777777" w:rsidR="0038322C" w:rsidRDefault="00C72A69">
            <w:pPr>
              <w:widowControl w:val="0"/>
              <w:spacing w:line="240" w:lineRule="auto"/>
            </w:pPr>
            <w:r>
              <w:t xml:space="preserve">Amadeus </w:t>
            </w:r>
            <w:proofErr w:type="spellStart"/>
            <w:r>
              <w:t>Orpheus</w:t>
            </w:r>
            <w:proofErr w:type="spellEnd"/>
          </w:p>
          <w:p w14:paraId="0BA66356" w14:textId="77777777" w:rsidR="0038322C" w:rsidRDefault="00C72A69">
            <w:pPr>
              <w:widowControl w:val="0"/>
              <w:spacing w:line="240" w:lineRule="auto"/>
            </w:pPr>
            <w:r>
              <w:t xml:space="preserve">Steiner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D9DAE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OpenLims</w:t>
            </w:r>
            <w:proofErr w:type="spellEnd"/>
          </w:p>
          <w:p w14:paraId="1BD6E1F9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Stapro</w:t>
            </w:r>
            <w:proofErr w:type="spellEnd"/>
            <w:r>
              <w:t xml:space="preserve"> s.</w:t>
            </w:r>
            <w:proofErr w:type="gramStart"/>
            <w:r>
              <w:t>r.o</w:t>
            </w:r>
            <w:proofErr w:type="gram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7C50E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Dasta</w:t>
            </w:r>
            <w:proofErr w:type="spellEnd"/>
            <w:r>
              <w:t xml:space="preserve"> 3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F7B62" w14:textId="77777777" w:rsidR="0038322C" w:rsidRDefault="00C72A69">
            <w:pPr>
              <w:widowControl w:val="0"/>
              <w:spacing w:line="240" w:lineRule="auto"/>
            </w:pPr>
            <w:r>
              <w:t xml:space="preserve">Výměna dat prostřednictvím </w:t>
            </w:r>
            <w:proofErr w:type="spellStart"/>
            <w:r>
              <w:t>filesystému</w:t>
            </w:r>
            <w:proofErr w:type="spellEnd"/>
          </w:p>
        </w:tc>
      </w:tr>
      <w:tr w:rsidR="0038322C" w14:paraId="49FF2062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0F36B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PACS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7401D" w14:textId="77777777" w:rsidR="0038322C" w:rsidRDefault="00C72A69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t>JiveX</w:t>
            </w:r>
            <w:proofErr w:type="spellEnd"/>
            <w:r>
              <w:t xml:space="preserve"> </w:t>
            </w:r>
            <w:r>
              <w:rPr>
                <w:sz w:val="16"/>
                <w:szCs w:val="16"/>
              </w:rPr>
              <w:t xml:space="preserve">(VISUS </w:t>
            </w:r>
            <w:proofErr w:type="spellStart"/>
            <w:r>
              <w:rPr>
                <w:sz w:val="16"/>
                <w:szCs w:val="16"/>
              </w:rPr>
              <w:t>Health</w:t>
            </w:r>
            <w:proofErr w:type="spellEnd"/>
            <w:r>
              <w:rPr>
                <w:sz w:val="16"/>
                <w:szCs w:val="16"/>
              </w:rPr>
              <w:t xml:space="preserve"> IT </w:t>
            </w:r>
            <w:proofErr w:type="spellStart"/>
            <w:r>
              <w:rPr>
                <w:sz w:val="16"/>
                <w:szCs w:val="16"/>
              </w:rPr>
              <w:t>GmbH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3761E" w14:textId="77777777" w:rsidR="0038322C" w:rsidRDefault="00C72A69">
            <w:pPr>
              <w:widowControl w:val="0"/>
              <w:spacing w:line="240" w:lineRule="auto"/>
            </w:pPr>
            <w:r>
              <w:t>Marie PACS ORCZ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75814" w14:textId="77777777" w:rsidR="0038322C" w:rsidRDefault="00C72A69">
            <w:pPr>
              <w:widowControl w:val="0"/>
              <w:spacing w:line="240" w:lineRule="auto"/>
            </w:pPr>
            <w:r>
              <w:t>Marie PACS ORCZ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AE8C8" w14:textId="77777777" w:rsidR="0038322C" w:rsidRDefault="00C72A69">
            <w:pPr>
              <w:widowControl w:val="0"/>
              <w:spacing w:line="240" w:lineRule="auto"/>
            </w:pPr>
            <w:r>
              <w:t>Marie PACS ORCZ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121B0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JiveX</w:t>
            </w:r>
            <w:proofErr w:type="spellEnd"/>
            <w:r>
              <w:t xml:space="preserve"> </w:t>
            </w:r>
            <w:r>
              <w:rPr>
                <w:sz w:val="16"/>
                <w:szCs w:val="16"/>
              </w:rPr>
              <w:t xml:space="preserve">(VISUS </w:t>
            </w:r>
            <w:proofErr w:type="spellStart"/>
            <w:r>
              <w:rPr>
                <w:sz w:val="16"/>
                <w:szCs w:val="16"/>
              </w:rPr>
              <w:t>Health</w:t>
            </w:r>
            <w:proofErr w:type="spellEnd"/>
            <w:r>
              <w:rPr>
                <w:sz w:val="16"/>
                <w:szCs w:val="16"/>
              </w:rPr>
              <w:t xml:space="preserve"> IT </w:t>
            </w:r>
            <w:proofErr w:type="spellStart"/>
            <w:r>
              <w:rPr>
                <w:sz w:val="16"/>
                <w:szCs w:val="16"/>
              </w:rPr>
              <w:t>GmbH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3F78" w14:textId="77777777" w:rsidR="0038322C" w:rsidRDefault="00C72A69">
            <w:pPr>
              <w:widowControl w:val="0"/>
              <w:spacing w:line="240" w:lineRule="auto"/>
            </w:pPr>
            <w:r>
              <w:t>HL7, DICOM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DB2F8" w14:textId="77777777" w:rsidR="0038322C" w:rsidRDefault="00C72A69">
            <w:pPr>
              <w:widowControl w:val="0"/>
              <w:spacing w:line="240" w:lineRule="auto"/>
            </w:pPr>
            <w:r>
              <w:t>webové služby</w:t>
            </w:r>
          </w:p>
          <w:p w14:paraId="05577571" w14:textId="77777777" w:rsidR="0038322C" w:rsidRDefault="0038322C">
            <w:pPr>
              <w:widowControl w:val="0"/>
              <w:spacing w:line="240" w:lineRule="auto"/>
            </w:pPr>
          </w:p>
          <w:p w14:paraId="64EDCB33" w14:textId="77777777" w:rsidR="00F37496" w:rsidRDefault="00C72A69">
            <w:pPr>
              <w:widowControl w:val="0"/>
              <w:spacing w:line="240" w:lineRule="auto"/>
            </w:pPr>
            <w:r>
              <w:t xml:space="preserve">pro </w:t>
            </w:r>
            <w:proofErr w:type="spellStart"/>
            <w:r>
              <w:t>JiveX</w:t>
            </w:r>
            <w:proofErr w:type="spellEnd"/>
            <w:r>
              <w:t xml:space="preserve"> </w:t>
            </w:r>
          </w:p>
          <w:p w14:paraId="3FF383E3" w14:textId="77777777" w:rsidR="00F37496" w:rsidRDefault="00F37496">
            <w:pPr>
              <w:widowControl w:val="0"/>
              <w:spacing w:line="240" w:lineRule="auto"/>
            </w:pPr>
          </w:p>
          <w:p w14:paraId="7DFBE9FC" w14:textId="77777777" w:rsidR="00D307AA" w:rsidRDefault="00F37496">
            <w:pPr>
              <w:widowControl w:val="0"/>
              <w:spacing w:line="240" w:lineRule="auto"/>
            </w:pPr>
            <w:r>
              <w:t xml:space="preserve">OR CZ </w:t>
            </w:r>
          </w:p>
          <w:p w14:paraId="40F12FCB" w14:textId="77777777" w:rsidR="00D307AA" w:rsidRDefault="00D307AA">
            <w:pPr>
              <w:widowControl w:val="0"/>
              <w:spacing w:line="240" w:lineRule="auto"/>
            </w:pPr>
          </w:p>
          <w:p w14:paraId="07411D03" w14:textId="444C5F4F" w:rsidR="0038322C" w:rsidRDefault="00F37496">
            <w:pPr>
              <w:widowControl w:val="0"/>
              <w:spacing w:line="240" w:lineRule="auto"/>
            </w:pPr>
            <w:r>
              <w:t>viz příloha</w:t>
            </w:r>
            <w:r w:rsidR="00C72A69">
              <w:rPr>
                <w:highlight w:val="yellow"/>
              </w:rPr>
              <w:t xml:space="preserve"> </w:t>
            </w:r>
          </w:p>
          <w:p w14:paraId="6802AEF7" w14:textId="77777777" w:rsidR="0038322C" w:rsidRDefault="0038322C">
            <w:pPr>
              <w:widowControl w:val="0"/>
              <w:spacing w:line="240" w:lineRule="auto"/>
            </w:pPr>
          </w:p>
        </w:tc>
      </w:tr>
      <w:tr w:rsidR="0038322C" w14:paraId="79A89A09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2398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Archiv EZD</w:t>
            </w:r>
            <w:r w:rsidRPr="00121AAA">
              <w:rPr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46FCF" w14:textId="77777777" w:rsidR="0038322C" w:rsidRDefault="00C72A6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t xml:space="preserve">DESA </w:t>
            </w:r>
            <w:r>
              <w:rPr>
                <w:sz w:val="16"/>
                <w:szCs w:val="16"/>
              </w:rPr>
              <w:t>(ICZ a.s.)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24020" w14:textId="77777777" w:rsidR="0038322C" w:rsidRDefault="00C72A69">
            <w:pPr>
              <w:widowControl w:val="0"/>
              <w:spacing w:line="240" w:lineRule="auto"/>
            </w:pPr>
            <w:r>
              <w:t>DESA</w:t>
            </w:r>
          </w:p>
          <w:p w14:paraId="0322E2FF" w14:textId="77777777" w:rsidR="0038322C" w:rsidRDefault="00C72A69">
            <w:pPr>
              <w:widowControl w:val="0"/>
              <w:spacing w:line="240" w:lineRule="auto"/>
            </w:pPr>
            <w:r>
              <w:t>ICZ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FC2B" w14:textId="77777777" w:rsidR="0038322C" w:rsidRDefault="00C72A69">
            <w:pPr>
              <w:widowControl w:val="0"/>
              <w:spacing w:line="240" w:lineRule="auto"/>
            </w:pPr>
            <w:r>
              <w:t>DESA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8EBEB" w14:textId="77777777" w:rsidR="0038322C" w:rsidRDefault="00C72A69">
            <w:pPr>
              <w:widowControl w:val="0"/>
              <w:spacing w:line="240" w:lineRule="auto"/>
            </w:pPr>
            <w:r>
              <w:t>DESA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F6F4F" w14:textId="77777777" w:rsidR="0038322C" w:rsidRDefault="00C72A69">
            <w:pPr>
              <w:widowControl w:val="0"/>
              <w:spacing w:line="240" w:lineRule="auto"/>
            </w:pPr>
            <w:r>
              <w:t>DESA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E1AD7" w14:textId="77777777" w:rsidR="0038322C" w:rsidRDefault="00C72A69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Dle typu uloženého dokumentu (typicky </w:t>
            </w:r>
            <w:proofErr w:type="spellStart"/>
            <w:r>
              <w:rPr>
                <w:highlight w:val="white"/>
              </w:rPr>
              <w:t>pdf</w:t>
            </w:r>
            <w:proofErr w:type="spellEnd"/>
            <w:r>
              <w:rPr>
                <w:highlight w:val="white"/>
              </w:rPr>
              <w:t xml:space="preserve">, HL7, </w:t>
            </w:r>
            <w:proofErr w:type="spellStart"/>
            <w:r>
              <w:rPr>
                <w:highlight w:val="white"/>
              </w:rPr>
              <w:t>Dasta</w:t>
            </w:r>
            <w:proofErr w:type="spellEnd"/>
            <w:r>
              <w:rPr>
                <w:highlight w:val="white"/>
              </w:rPr>
              <w:t>, atd)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88EBB" w14:textId="77777777" w:rsidR="0038322C" w:rsidRPr="00F37496" w:rsidRDefault="00C72A69">
            <w:pPr>
              <w:widowControl w:val="0"/>
              <w:spacing w:line="240" w:lineRule="auto"/>
            </w:pPr>
            <w:r w:rsidRPr="00F37496">
              <w:t xml:space="preserve">IHE </w:t>
            </w:r>
            <w:proofErr w:type="spellStart"/>
            <w:r w:rsidRPr="00F37496">
              <w:t>XDS.b</w:t>
            </w:r>
            <w:proofErr w:type="spellEnd"/>
            <w:r w:rsidRPr="00F37496">
              <w:t xml:space="preserve"> ITI43</w:t>
            </w:r>
          </w:p>
        </w:tc>
      </w:tr>
      <w:tr w:rsidR="0038322C" w14:paraId="76105D14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4002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Výměnná síť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6690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eMeDocS</w:t>
            </w:r>
            <w:proofErr w:type="spellEnd"/>
            <w:r>
              <w:t xml:space="preserve"> </w:t>
            </w:r>
            <w:r>
              <w:rPr>
                <w:sz w:val="16"/>
                <w:szCs w:val="16"/>
              </w:rPr>
              <w:t>(ICZ a.s.)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99A58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eMeDocS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321DF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eMeDocS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442C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eMeDocS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F35DD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eMeDocS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05B9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Dasta</w:t>
            </w:r>
            <w:proofErr w:type="spellEnd"/>
            <w:r>
              <w:t xml:space="preserve"> 3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26B05" w14:textId="70FACFC3" w:rsidR="0038322C" w:rsidRPr="00F37496" w:rsidRDefault="00F37496">
            <w:pPr>
              <w:widowControl w:val="0"/>
              <w:spacing w:line="240" w:lineRule="auto"/>
            </w:pPr>
            <w:r w:rsidRPr="00F37496">
              <w:t>Viz příloha</w:t>
            </w:r>
            <w:r w:rsidR="00C72A69" w:rsidRPr="00F37496">
              <w:t xml:space="preserve"> </w:t>
            </w:r>
          </w:p>
        </w:tc>
      </w:tr>
      <w:tr w:rsidR="0038322C" w14:paraId="242C6952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C64B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t>Antivir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7192A" w14:textId="77777777" w:rsidR="0038322C" w:rsidRDefault="00C72A69">
            <w:pPr>
              <w:widowControl w:val="0"/>
              <w:spacing w:line="240" w:lineRule="auto"/>
            </w:pPr>
            <w:r>
              <w:t xml:space="preserve">Microsoft </w:t>
            </w:r>
            <w:proofErr w:type="spellStart"/>
            <w:r>
              <w:t>Defender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Endpoint</w:t>
            </w:r>
            <w:proofErr w:type="spellEnd"/>
          </w:p>
          <w:p w14:paraId="178D4C15" w14:textId="77777777" w:rsidR="0038322C" w:rsidRDefault="0038322C">
            <w:pPr>
              <w:widowControl w:val="0"/>
              <w:spacing w:line="240" w:lineRule="auto"/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C83CB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Eset</w:t>
            </w:r>
            <w:proofErr w:type="spellEnd"/>
          </w:p>
          <w:p w14:paraId="4F48C522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protect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80A5" w14:textId="77777777" w:rsidR="0038322C" w:rsidRDefault="00C72A69">
            <w:pPr>
              <w:widowControl w:val="0"/>
              <w:spacing w:line="240" w:lineRule="auto"/>
            </w:pPr>
            <w:r>
              <w:t xml:space="preserve">Trend Vision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Endpoint</w:t>
            </w:r>
            <w:proofErr w:type="spellEnd"/>
            <w:r>
              <w:t xml:space="preserve"> </w:t>
            </w:r>
            <w:proofErr w:type="spellStart"/>
            <w:r>
              <w:t>security</w:t>
            </w:r>
            <w:proofErr w:type="spellEnd"/>
          </w:p>
          <w:p w14:paraId="0EB704DF" w14:textId="77777777" w:rsidR="0038322C" w:rsidRDefault="0038322C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2AB11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Eset</w:t>
            </w:r>
            <w:proofErr w:type="spellEnd"/>
          </w:p>
          <w:p w14:paraId="7EA96CA9" w14:textId="77777777" w:rsidR="0038322C" w:rsidRDefault="00C72A69">
            <w:pPr>
              <w:widowControl w:val="0"/>
              <w:spacing w:line="240" w:lineRule="auto"/>
            </w:pPr>
            <w:proofErr w:type="spellStart"/>
            <w:r>
              <w:t>protect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628" w14:textId="77777777" w:rsidR="0038322C" w:rsidRDefault="00C72A69">
            <w:pPr>
              <w:widowControl w:val="0"/>
              <w:spacing w:line="240" w:lineRule="auto"/>
            </w:pPr>
            <w:r>
              <w:t xml:space="preserve">Trend Vision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Endpoint</w:t>
            </w:r>
            <w:proofErr w:type="spellEnd"/>
            <w:r>
              <w:t xml:space="preserve"> </w:t>
            </w:r>
            <w:proofErr w:type="spellStart"/>
            <w:r>
              <w:t>security</w:t>
            </w:r>
            <w:proofErr w:type="spellEnd"/>
          </w:p>
          <w:p w14:paraId="42B982A0" w14:textId="77777777" w:rsidR="0038322C" w:rsidRDefault="0038322C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502A6" w14:textId="77777777" w:rsidR="0038322C" w:rsidRDefault="00C72A69">
            <w:pPr>
              <w:widowControl w:val="0"/>
              <w:spacing w:line="240" w:lineRule="auto"/>
            </w:pPr>
            <w:r>
              <w:t>Nerelevantní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381EE" w14:textId="77777777" w:rsidR="0038322C" w:rsidRDefault="00C72A69">
            <w:pPr>
              <w:widowControl w:val="0"/>
              <w:spacing w:line="240" w:lineRule="auto"/>
              <w:rPr>
                <w:color w:val="0353A8"/>
                <w:u w:val="single"/>
              </w:rPr>
            </w:pPr>
            <w:r>
              <w:t>Nerelevantní</w:t>
            </w:r>
          </w:p>
        </w:tc>
      </w:tr>
      <w:tr w:rsidR="0038322C" w14:paraId="41B36CB8" w14:textId="77777777">
        <w:trPr>
          <w:trHeight w:val="420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12ACE" w14:textId="77777777" w:rsidR="0038322C" w:rsidRPr="00121AAA" w:rsidRDefault="00C7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</w:rPr>
            </w:pPr>
            <w:r w:rsidRPr="00121AAA">
              <w:rPr>
                <w:b/>
                <w:bCs/>
              </w:rPr>
              <w:lastRenderedPageBreak/>
              <w:t>Centrální systémy EZ</w:t>
            </w:r>
          </w:p>
        </w:tc>
        <w:tc>
          <w:tcPr>
            <w:tcW w:w="555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0DA2" w14:textId="77777777" w:rsidR="0038322C" w:rsidRDefault="00C72A69">
            <w:pPr>
              <w:numPr>
                <w:ilvl w:val="1"/>
                <w:numId w:val="3"/>
              </w:numPr>
              <w:spacing w:before="240"/>
            </w:pPr>
            <w:r>
              <w:t>Kmenový registr poskytovatelů</w:t>
            </w:r>
          </w:p>
          <w:p w14:paraId="666BCFCC" w14:textId="77777777" w:rsidR="0038322C" w:rsidRDefault="00C72A69">
            <w:pPr>
              <w:numPr>
                <w:ilvl w:val="1"/>
                <w:numId w:val="3"/>
              </w:numPr>
            </w:pPr>
            <w:r>
              <w:t>Kmenový registr zdravotnických pracovníků</w:t>
            </w:r>
          </w:p>
          <w:p w14:paraId="510FBE0B" w14:textId="77777777" w:rsidR="0038322C" w:rsidRDefault="00C72A69">
            <w:pPr>
              <w:numPr>
                <w:ilvl w:val="1"/>
                <w:numId w:val="3"/>
              </w:numPr>
            </w:pPr>
            <w:r>
              <w:t>Dočasné úložiště</w:t>
            </w:r>
          </w:p>
          <w:p w14:paraId="63FA8C47" w14:textId="77777777" w:rsidR="0038322C" w:rsidRDefault="00C72A69">
            <w:pPr>
              <w:numPr>
                <w:ilvl w:val="1"/>
                <w:numId w:val="3"/>
              </w:numPr>
            </w:pPr>
            <w:r>
              <w:t>Národní kontaktní místo pro elektronické zdravotnictví (</w:t>
            </w:r>
            <w:proofErr w:type="spellStart"/>
            <w:r>
              <w:t>NCPeH</w:t>
            </w:r>
            <w:proofErr w:type="spellEnd"/>
            <w:r>
              <w:t>)</w:t>
            </w:r>
          </w:p>
          <w:p w14:paraId="1DE4694B" w14:textId="77777777" w:rsidR="0038322C" w:rsidRDefault="00C72A69">
            <w:pPr>
              <w:numPr>
                <w:ilvl w:val="1"/>
                <w:numId w:val="3"/>
              </w:numPr>
            </w:pPr>
            <w:r>
              <w:t>Registr oprávnění</w:t>
            </w:r>
          </w:p>
          <w:p w14:paraId="5EA8327E" w14:textId="77777777" w:rsidR="0038322C" w:rsidRDefault="00C72A69">
            <w:pPr>
              <w:numPr>
                <w:ilvl w:val="1"/>
                <w:numId w:val="3"/>
              </w:numPr>
            </w:pPr>
            <w:r>
              <w:t>Centrální terminologický server</w:t>
            </w:r>
          </w:p>
          <w:p w14:paraId="75A5FA37" w14:textId="77777777" w:rsidR="0038322C" w:rsidRDefault="00C72A69">
            <w:pPr>
              <w:numPr>
                <w:ilvl w:val="1"/>
                <w:numId w:val="3"/>
              </w:numPr>
            </w:pPr>
            <w:r>
              <w:t>Napojení na Národní registry NZIS</w:t>
            </w:r>
          </w:p>
          <w:p w14:paraId="7B7D0624" w14:textId="77777777" w:rsidR="0038322C" w:rsidRDefault="00C72A69">
            <w:pPr>
              <w:numPr>
                <w:ilvl w:val="1"/>
                <w:numId w:val="3"/>
              </w:numPr>
              <w:jc w:val="both"/>
            </w:pPr>
            <w:r>
              <w:rPr>
                <w:highlight w:val="white"/>
              </w:rPr>
              <w:t xml:space="preserve">Implementace systému </w:t>
            </w:r>
            <w:proofErr w:type="spellStart"/>
            <w:r>
              <w:rPr>
                <w:highlight w:val="white"/>
              </w:rPr>
              <w:t>eŽadanek</w:t>
            </w:r>
            <w:proofErr w:type="spellEnd"/>
          </w:p>
          <w:p w14:paraId="546A5CBC" w14:textId="77777777" w:rsidR="0038322C" w:rsidRDefault="00C72A69" w:rsidP="00425898">
            <w:pPr>
              <w:numPr>
                <w:ilvl w:val="1"/>
                <w:numId w:val="3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Žurnál činností </w:t>
            </w:r>
          </w:p>
          <w:p w14:paraId="06617E28" w14:textId="40940140" w:rsidR="00425898" w:rsidRDefault="00425898">
            <w:pPr>
              <w:numPr>
                <w:ilvl w:val="1"/>
                <w:numId w:val="3"/>
              </w:numPr>
              <w:spacing w:after="240"/>
              <w:jc w:val="both"/>
              <w:rPr>
                <w:highlight w:val="white"/>
              </w:rPr>
            </w:pPr>
            <w:r>
              <w:rPr>
                <w:highlight w:val="white"/>
              </w:rPr>
              <w:t>Notifikační služby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675F" w14:textId="6B1CB354" w:rsidR="0038322C" w:rsidRDefault="00F37496">
            <w:pPr>
              <w:widowControl w:val="0"/>
              <w:spacing w:line="240" w:lineRule="auto"/>
              <w:rPr>
                <w:highlight w:val="yellow"/>
              </w:rPr>
            </w:pPr>
            <w:r w:rsidRPr="00F37496">
              <w:t>Viz příloha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931C" w14:textId="471887D7" w:rsidR="0038322C" w:rsidRDefault="00F37496">
            <w:pPr>
              <w:widowControl w:val="0"/>
              <w:spacing w:line="240" w:lineRule="auto"/>
              <w:rPr>
                <w:highlight w:val="yellow"/>
              </w:rPr>
            </w:pPr>
            <w:r w:rsidRPr="00F37496">
              <w:t>Viz příloha</w:t>
            </w:r>
          </w:p>
        </w:tc>
      </w:tr>
    </w:tbl>
    <w:p w14:paraId="7434BE26" w14:textId="77777777" w:rsidR="0038322C" w:rsidRDefault="0038322C" w:rsidP="00495CED"/>
    <w:p w14:paraId="0FCCBF65" w14:textId="2C0A0FE5" w:rsidR="00661B8B" w:rsidRPr="00121AAA" w:rsidRDefault="00661B8B" w:rsidP="00661B8B">
      <w:pPr>
        <w:spacing w:after="240"/>
        <w:jc w:val="both"/>
        <w:rPr>
          <w:b/>
          <w:bCs/>
        </w:rPr>
      </w:pPr>
      <w:r w:rsidRPr="00121AAA">
        <w:rPr>
          <w:b/>
          <w:bCs/>
        </w:rPr>
        <w:t>Pro realizaci požadavků</w:t>
      </w:r>
      <w:r w:rsidRPr="00121AAA">
        <w:rPr>
          <w:b/>
          <w:bCs/>
        </w:rPr>
        <w:t xml:space="preserve"> zadavatele</w:t>
      </w:r>
      <w:r w:rsidRPr="00121AAA">
        <w:rPr>
          <w:b/>
          <w:bCs/>
        </w:rPr>
        <w:t xml:space="preserve"> je možné využít stávající rozhraní a podporované formáty informačních systémů provozovaných organizací</w:t>
      </w:r>
      <w:r w:rsidRPr="00121AAA">
        <w:rPr>
          <w:b/>
          <w:bCs/>
        </w:rPr>
        <w:t xml:space="preserve"> (nemocnicí)</w:t>
      </w:r>
      <w:r w:rsidRPr="00121AAA">
        <w:rPr>
          <w:b/>
          <w:bCs/>
        </w:rPr>
        <w:t xml:space="preserve">. Součinnost třetí osoby zajistí na své náklady </w:t>
      </w:r>
      <w:r w:rsidRPr="00121AAA">
        <w:rPr>
          <w:b/>
          <w:bCs/>
        </w:rPr>
        <w:t xml:space="preserve">zadavatel </w:t>
      </w:r>
      <w:r w:rsidR="00121AAA" w:rsidRPr="00121AAA">
        <w:rPr>
          <w:b/>
          <w:bCs/>
        </w:rPr>
        <w:t>–</w:t>
      </w:r>
      <w:r w:rsidRPr="00121AAA">
        <w:rPr>
          <w:b/>
          <w:bCs/>
        </w:rPr>
        <w:t xml:space="preserve"> nemocnice</w:t>
      </w:r>
      <w:r w:rsidR="00121AAA" w:rsidRPr="00121AAA">
        <w:rPr>
          <w:b/>
          <w:bCs/>
        </w:rPr>
        <w:t xml:space="preserve"> na základě úvodní analýzy</w:t>
      </w:r>
      <w:r w:rsidRPr="00121AAA">
        <w:rPr>
          <w:b/>
          <w:bCs/>
        </w:rPr>
        <w:t>.</w:t>
      </w:r>
    </w:p>
    <w:p w14:paraId="60A0B1AA" w14:textId="77777777" w:rsidR="00661B8B" w:rsidRDefault="00661B8B" w:rsidP="00495CED"/>
    <w:sectPr w:rsidR="00661B8B" w:rsidSect="00961889">
      <w:head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8BCD6" w14:textId="77777777" w:rsidR="00C72A69" w:rsidRDefault="00C72A69">
      <w:pPr>
        <w:spacing w:line="240" w:lineRule="auto"/>
      </w:pPr>
      <w:r>
        <w:separator/>
      </w:r>
    </w:p>
  </w:endnote>
  <w:endnote w:type="continuationSeparator" w:id="0">
    <w:p w14:paraId="4BA52A2B" w14:textId="77777777" w:rsidR="00C72A69" w:rsidRDefault="00C72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8BD9" w14:textId="77777777" w:rsidR="00C72A69" w:rsidRDefault="00C72A69">
      <w:pPr>
        <w:spacing w:line="240" w:lineRule="auto"/>
      </w:pPr>
      <w:r>
        <w:separator/>
      </w:r>
    </w:p>
  </w:footnote>
  <w:footnote w:type="continuationSeparator" w:id="0">
    <w:p w14:paraId="6FE1CDAF" w14:textId="77777777" w:rsidR="00C72A69" w:rsidRDefault="00C72A69">
      <w:pPr>
        <w:spacing w:line="240" w:lineRule="auto"/>
      </w:pPr>
      <w:r>
        <w:continuationSeparator/>
      </w:r>
    </w:p>
  </w:footnote>
  <w:footnote w:id="1">
    <w:p w14:paraId="5B72DBEA" w14:textId="77777777" w:rsidR="0038322C" w:rsidRPr="00121AAA" w:rsidRDefault="00C72A69">
      <w:pPr>
        <w:spacing w:line="240" w:lineRule="auto"/>
        <w:jc w:val="both"/>
        <w:rPr>
          <w:sz w:val="18"/>
          <w:szCs w:val="18"/>
        </w:rPr>
      </w:pPr>
      <w:r w:rsidRPr="00121AAA">
        <w:rPr>
          <w:sz w:val="18"/>
          <w:szCs w:val="18"/>
          <w:vertAlign w:val="superscript"/>
        </w:rPr>
        <w:footnoteRef/>
      </w:r>
      <w:r w:rsidRPr="00121AAA">
        <w:rPr>
          <w:sz w:val="18"/>
          <w:szCs w:val="18"/>
        </w:rPr>
        <w:t xml:space="preserve"> Archiv není primárním zdrojem strukturovaných dat, ale disponuje finální </w:t>
      </w:r>
      <w:proofErr w:type="spellStart"/>
      <w:r w:rsidRPr="00121AAA">
        <w:rPr>
          <w:sz w:val="18"/>
          <w:szCs w:val="18"/>
        </w:rPr>
        <w:t>zdr</w:t>
      </w:r>
      <w:proofErr w:type="spellEnd"/>
      <w:r w:rsidRPr="00121AAA">
        <w:rPr>
          <w:sz w:val="18"/>
          <w:szCs w:val="18"/>
        </w:rPr>
        <w:t xml:space="preserve">. dokumentací typicky podepsanou nebo </w:t>
      </w:r>
      <w:proofErr w:type="spellStart"/>
      <w:r w:rsidRPr="00121AAA">
        <w:rPr>
          <w:sz w:val="18"/>
          <w:szCs w:val="18"/>
        </w:rPr>
        <w:t>opečetěnou</w:t>
      </w:r>
      <w:proofErr w:type="spellEnd"/>
      <w:r w:rsidRPr="00121AAA">
        <w:rPr>
          <w:sz w:val="18"/>
          <w:szCs w:val="18"/>
        </w:rPr>
        <w:t>. Požadavek na integraci vychází ze situace, že veškerá finální zdravotnické dokumentace bude uložena v archivu, včetně podpisu či pečetě.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466B" w14:textId="77777777" w:rsidR="00961889" w:rsidRPr="00961889" w:rsidRDefault="00961889" w:rsidP="00961889">
    <w:pPr>
      <w:pStyle w:val="Zhlav"/>
      <w:rPr>
        <w:b/>
        <w:color w:val="808080" w:themeColor="background1" w:themeShade="80"/>
      </w:rPr>
    </w:pPr>
    <w:r w:rsidRPr="00961889">
      <w:rPr>
        <w:color w:val="808080" w:themeColor="background1" w:themeShade="80"/>
      </w:rPr>
      <w:t xml:space="preserve">Veřejná zakázka </w:t>
    </w:r>
  </w:p>
  <w:p w14:paraId="02846026" w14:textId="77777777" w:rsidR="00961889" w:rsidRPr="00961889" w:rsidRDefault="00961889" w:rsidP="00961889">
    <w:pPr>
      <w:pStyle w:val="Zhlav"/>
      <w:rPr>
        <w:b/>
        <w:color w:val="808080" w:themeColor="background1" w:themeShade="80"/>
      </w:rPr>
    </w:pPr>
    <w:r w:rsidRPr="00961889">
      <w:rPr>
        <w:b/>
        <w:color w:val="808080" w:themeColor="background1" w:themeShade="80"/>
      </w:rPr>
      <w:t>Interoperabilita e-</w:t>
    </w:r>
    <w:proofErr w:type="spellStart"/>
    <w:r w:rsidRPr="00961889">
      <w:rPr>
        <w:b/>
        <w:color w:val="808080" w:themeColor="background1" w:themeShade="80"/>
      </w:rPr>
      <w:t>Health</w:t>
    </w:r>
    <w:proofErr w:type="spellEnd"/>
  </w:p>
  <w:p w14:paraId="2B694D39" w14:textId="77777777" w:rsidR="00961889" w:rsidRPr="00961889" w:rsidRDefault="00961889" w:rsidP="00961889">
    <w:pPr>
      <w:pStyle w:val="Zhlav"/>
      <w:rPr>
        <w:color w:val="808080" w:themeColor="background1" w:themeShade="80"/>
      </w:rPr>
    </w:pPr>
    <w:r w:rsidRPr="00961889">
      <w:rPr>
        <w:color w:val="808080" w:themeColor="background1" w:themeShade="80"/>
      </w:rPr>
      <w:t>Zadávací dokumentace</w:t>
    </w:r>
  </w:p>
  <w:p w14:paraId="01C45F20" w14:textId="1E074A9C" w:rsidR="00961889" w:rsidRPr="00961889" w:rsidRDefault="00961889" w:rsidP="00961889">
    <w:pPr>
      <w:pStyle w:val="Zhlav"/>
      <w:rPr>
        <w:color w:val="808080" w:themeColor="background1" w:themeShade="80"/>
      </w:rPr>
    </w:pPr>
    <w:r w:rsidRPr="00961889">
      <w:rPr>
        <w:color w:val="808080" w:themeColor="background1" w:themeShade="80"/>
      </w:rPr>
      <w:t xml:space="preserve">Příloha č. 1 zadávací dokumentace: </w:t>
    </w:r>
    <w:r>
      <w:rPr>
        <w:color w:val="808080" w:themeColor="background1" w:themeShade="80"/>
      </w:rPr>
      <w:t>Technické podmínky</w:t>
    </w:r>
  </w:p>
  <w:p w14:paraId="6E7CCD49" w14:textId="77777777" w:rsidR="00961889" w:rsidRDefault="009618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191"/>
    <w:multiLevelType w:val="multilevel"/>
    <w:tmpl w:val="E22648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F2449C"/>
    <w:multiLevelType w:val="multilevel"/>
    <w:tmpl w:val="A2AADD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7D3478"/>
    <w:multiLevelType w:val="multilevel"/>
    <w:tmpl w:val="3C62D4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59C516D1"/>
    <w:multiLevelType w:val="multilevel"/>
    <w:tmpl w:val="3A728D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E573C35"/>
    <w:multiLevelType w:val="multilevel"/>
    <w:tmpl w:val="E22648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6101C7E"/>
    <w:multiLevelType w:val="multilevel"/>
    <w:tmpl w:val="9DB47B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67152693">
    <w:abstractNumId w:val="3"/>
  </w:num>
  <w:num w:numId="2" w16cid:durableId="920868131">
    <w:abstractNumId w:val="4"/>
  </w:num>
  <w:num w:numId="3" w16cid:durableId="1948274851">
    <w:abstractNumId w:val="1"/>
  </w:num>
  <w:num w:numId="4" w16cid:durableId="1662075464">
    <w:abstractNumId w:val="2"/>
  </w:num>
  <w:num w:numId="5" w16cid:durableId="445584900">
    <w:abstractNumId w:val="5"/>
  </w:num>
  <w:num w:numId="6" w16cid:durableId="483015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22C"/>
    <w:rsid w:val="00121AAA"/>
    <w:rsid w:val="00224400"/>
    <w:rsid w:val="0038322C"/>
    <w:rsid w:val="00425898"/>
    <w:rsid w:val="004739AF"/>
    <w:rsid w:val="00495CED"/>
    <w:rsid w:val="00661B8B"/>
    <w:rsid w:val="007D1128"/>
    <w:rsid w:val="00961889"/>
    <w:rsid w:val="00B1742A"/>
    <w:rsid w:val="00C10DC5"/>
    <w:rsid w:val="00C562CF"/>
    <w:rsid w:val="00C72A69"/>
    <w:rsid w:val="00CD02BB"/>
    <w:rsid w:val="00D307AA"/>
    <w:rsid w:val="00F37496"/>
    <w:rsid w:val="00F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C0F5"/>
  <w15:docId w15:val="{C2B57CB5-4097-42B7-90EF-572C0B91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6188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1889"/>
  </w:style>
  <w:style w:type="paragraph" w:styleId="Zpat">
    <w:name w:val="footer"/>
    <w:basedOn w:val="Normln"/>
    <w:link w:val="ZpatChar"/>
    <w:uiPriority w:val="99"/>
    <w:unhideWhenUsed/>
    <w:rsid w:val="0096188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1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minology.hl7.org/1.0.0/CodeSystem-v3-NullFlavor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ealth.ec.europa.eu/ehealth-digital-health-and-care/digital-health-and-care/electronic-cross-border-health-services_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pro.atlassian.net/wiki/spaces/FE/pages/202834084/Rozcestn+k+centr+ln+ho+FEApi+k+jednotliv+m+controller+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tapro.atlassian.net/wiki/spaces/FE/over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atsheetseries.owasp.org/cheatsheets/HTTP_Headers_Cheat_Shee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3120</TotalTime>
  <Pages>10</Pages>
  <Words>2916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Páleník Robert</cp:lastModifiedBy>
  <cp:revision>10</cp:revision>
  <dcterms:created xsi:type="dcterms:W3CDTF">2025-07-22T13:38:00Z</dcterms:created>
  <dcterms:modified xsi:type="dcterms:W3CDTF">2025-07-30T14:09:00Z</dcterms:modified>
</cp:coreProperties>
</file>