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77BF" w14:textId="3D10360B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F1456C">
        <w:rPr>
          <w:rFonts w:cs="Arial"/>
          <w:b/>
          <w:sz w:val="28"/>
          <w:szCs w:val="28"/>
        </w:rPr>
        <w:t>2</w:t>
      </w:r>
      <w:r w:rsidR="00505E6F" w:rsidRPr="00505E6F">
        <w:rPr>
          <w:rFonts w:cs="Arial"/>
          <w:b/>
          <w:sz w:val="28"/>
          <w:szCs w:val="28"/>
        </w:rPr>
        <w:t xml:space="preserve"> zadávacích podmínek</w:t>
      </w:r>
      <w:r w:rsidR="001240A7">
        <w:rPr>
          <w:rFonts w:cs="Arial"/>
          <w:b/>
          <w:sz w:val="28"/>
          <w:szCs w:val="28"/>
        </w:rPr>
        <w:t xml:space="preserve"> – obchodní podmínky</w:t>
      </w:r>
      <w:r w:rsidR="00654952">
        <w:rPr>
          <w:rFonts w:cs="Arial"/>
          <w:b/>
          <w:sz w:val="28"/>
          <w:szCs w:val="28"/>
        </w:rPr>
        <w:t xml:space="preserve"> </w:t>
      </w:r>
      <w:r w:rsidR="000B3FDC">
        <w:rPr>
          <w:rFonts w:cs="Arial"/>
          <w:b/>
          <w:sz w:val="28"/>
          <w:szCs w:val="28"/>
        </w:rPr>
        <w:t xml:space="preserve">– </w:t>
      </w:r>
      <w:r w:rsidR="000B3FDC" w:rsidRPr="00A521E0">
        <w:rPr>
          <w:rFonts w:cs="Arial"/>
          <w:b/>
          <w:sz w:val="28"/>
          <w:szCs w:val="28"/>
          <w:u w:val="single"/>
        </w:rPr>
        <w:t xml:space="preserve">pro část </w:t>
      </w:r>
      <w:r w:rsidR="00F1456C">
        <w:rPr>
          <w:rFonts w:cs="Arial"/>
          <w:b/>
          <w:sz w:val="28"/>
          <w:szCs w:val="28"/>
          <w:u w:val="single"/>
        </w:rPr>
        <w:t>2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3BF51AF0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45173072" w14:textId="1EDD1864" w:rsidR="006934A7" w:rsidRPr="00FC2DBC" w:rsidRDefault="006934A7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oprávněn:</w:t>
      </w:r>
      <w:r>
        <w:rPr>
          <w:rFonts w:cs="Arial"/>
        </w:rPr>
        <w:tab/>
        <w:t>Ing. Otto Vopěnka, 1. náměstek hejtmana</w:t>
      </w:r>
    </w:p>
    <w:p w14:paraId="2B31CC90" w14:textId="36AB0C6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6934A7">
        <w:rPr>
          <w:rFonts w:cs="Arial"/>
        </w:rPr>
        <w:t>Ing. Otto Vopěnka</w:t>
      </w:r>
    </w:p>
    <w:p w14:paraId="308182F6" w14:textId="5798B227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D85159">
        <w:rPr>
          <w:rFonts w:cs="Arial"/>
        </w:rPr>
        <w:t>Bc. Dagmar Palánová</w:t>
      </w:r>
    </w:p>
    <w:p w14:paraId="69E5A7B5" w14:textId="1CEC4337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F500ED">
        <w:rPr>
          <w:rFonts w:cs="Arial"/>
        </w:rPr>
        <w:t>+420 564 602 </w:t>
      </w:r>
      <w:r w:rsidR="00D85159">
        <w:rPr>
          <w:rFonts w:cs="Arial"/>
        </w:rPr>
        <w:t>204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722A52F8" w14:textId="443BC4FE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bankovní spojení: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Komerční banka, a.s.</w:t>
      </w:r>
    </w:p>
    <w:p w14:paraId="5CBDE5FC" w14:textId="2D0535F8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číslo účtu: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123-6403810267/0100</w:t>
      </w:r>
    </w:p>
    <w:p w14:paraId="7C2CD1FB" w14:textId="21CF908B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rejstříku:   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2DF22F49" w14:textId="0DE6598A" w:rsidR="00FC2DBC" w:rsidRPr="00B62F6C" w:rsidRDefault="00FC2DBC" w:rsidP="007A4642">
      <w:pPr>
        <w:jc w:val="both"/>
        <w:rPr>
          <w:rFonts w:cs="Arial"/>
          <w:b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D1FC6">
        <w:rPr>
          <w:rFonts w:cs="Arial"/>
        </w:rPr>
        <w:t>stav</w:t>
      </w:r>
      <w:r w:rsidR="00B62F6C" w:rsidRPr="00ED1FC6">
        <w:rPr>
          <w:rFonts w:cs="Arial"/>
        </w:rPr>
        <w:t>by</w:t>
      </w:r>
      <w:r w:rsidR="00B62F6C">
        <w:rPr>
          <w:rFonts w:cs="Arial"/>
        </w:rPr>
        <w:t xml:space="preserve"> „</w:t>
      </w:r>
      <w:r w:rsidR="00E069C8" w:rsidRPr="004D3073">
        <w:rPr>
          <w:rFonts w:eastAsia="MS Mincho" w:cs="Arial"/>
          <w:b/>
          <w:bCs/>
        </w:rPr>
        <w:t>Výstavba výjezdové základny ZZS KV - Humpolec</w:t>
      </w:r>
      <w:r w:rsidR="00ED1FC6">
        <w:rPr>
          <w:rFonts w:eastAsia="MS Mincho" w:cs="Arial"/>
          <w:b/>
          <w:bCs/>
        </w:rPr>
        <w:t>“</w:t>
      </w:r>
      <w:r w:rsidR="00ED1FC6" w:rsidRPr="00E376A0">
        <w:rPr>
          <w:rFonts w:cs="Arial"/>
        </w:rPr>
        <w:t xml:space="preserve"> </w:t>
      </w: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této smlouvy. Současně se </w:t>
      </w:r>
      <w:r w:rsidR="00EE24AC" w:rsidRPr="00E376A0">
        <w:rPr>
          <w:rFonts w:cs="Arial"/>
        </w:rPr>
        <w:t>Zadavatel stavby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této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6580521F" w14:textId="4D4C02C4" w:rsidR="00EE24AC" w:rsidRPr="00FC2DBC" w:rsidRDefault="00EE24AC" w:rsidP="007A4642">
      <w:pPr>
        <w:jc w:val="both"/>
        <w:rPr>
          <w:rFonts w:cs="Arial"/>
        </w:rPr>
      </w:pPr>
      <w:r>
        <w:rPr>
          <w:rFonts w:cs="Arial"/>
        </w:rPr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E95A2F">
        <w:rPr>
          <w:rFonts w:cs="Arial"/>
        </w:rPr>
        <w:t>u</w:t>
      </w:r>
      <w:r w:rsidR="005D3AE2">
        <w:rPr>
          <w:rFonts w:cs="Arial"/>
        </w:rPr>
        <w:t>:</w:t>
      </w:r>
    </w:p>
    <w:p w14:paraId="3F0CD604" w14:textId="77777777" w:rsidR="00FC2DBC" w:rsidRPr="00FC2DBC" w:rsidRDefault="00FC2DBC" w:rsidP="007A4642">
      <w:pPr>
        <w:jc w:val="both"/>
        <w:rPr>
          <w:rFonts w:cs="Arial"/>
        </w:rPr>
      </w:pPr>
    </w:p>
    <w:p w14:paraId="33A45485" w14:textId="4F29A537" w:rsidR="008B4BBD" w:rsidRDefault="008B4BBD" w:rsidP="007A4642">
      <w:pPr>
        <w:jc w:val="both"/>
        <w:rPr>
          <w:rFonts w:cs="Arial"/>
        </w:rPr>
      </w:pPr>
    </w:p>
    <w:p w14:paraId="0BB41E1A" w14:textId="77777777" w:rsidR="000809B6" w:rsidRDefault="000809B6" w:rsidP="007A4642">
      <w:pPr>
        <w:jc w:val="both"/>
        <w:rPr>
          <w:rFonts w:cs="Arial"/>
        </w:rPr>
      </w:pPr>
    </w:p>
    <w:p w14:paraId="47FC9337" w14:textId="138596DD" w:rsidR="00297ADE" w:rsidRPr="008E0908" w:rsidRDefault="00FC2DBC" w:rsidP="00A521E0">
      <w:pPr>
        <w:jc w:val="both"/>
        <w:rPr>
          <w:rFonts w:eastAsia="MS Mincho" w:cs="Arial"/>
        </w:rPr>
      </w:pPr>
      <w:r w:rsidRPr="00A521E0">
        <w:rPr>
          <w:rFonts w:cs="Arial"/>
          <w:u w:val="single"/>
        </w:rPr>
        <w:lastRenderedPageBreak/>
        <w:t>Specifikace stavby</w:t>
      </w:r>
      <w:r w:rsidRPr="00C2650E">
        <w:rPr>
          <w:rFonts w:cs="Arial"/>
        </w:rPr>
        <w:t>:</w:t>
      </w:r>
    </w:p>
    <w:p w14:paraId="4059E526" w14:textId="4F923B2D" w:rsidR="000809B6" w:rsidRPr="008E0908" w:rsidRDefault="000809B6" w:rsidP="000809B6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>Akce</w:t>
      </w:r>
      <w:r w:rsidR="009B58F3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9B58F3" w:rsidRPr="004D3073">
        <w:rPr>
          <w:rFonts w:eastAsia="MS Mincho" w:cs="Arial"/>
          <w:b/>
          <w:bCs/>
        </w:rPr>
        <w:t xml:space="preserve">Výstavba výjezdové základny ZZS KV </w:t>
      </w:r>
      <w:r w:rsidR="009B58F3">
        <w:rPr>
          <w:rFonts w:eastAsia="MS Mincho" w:cs="Arial"/>
          <w:b/>
          <w:bCs/>
        </w:rPr>
        <w:t>–</w:t>
      </w:r>
      <w:r w:rsidR="009B58F3" w:rsidRPr="004D3073">
        <w:rPr>
          <w:rFonts w:eastAsia="MS Mincho" w:cs="Arial"/>
          <w:b/>
          <w:bCs/>
        </w:rPr>
        <w:t xml:space="preserve"> Humpolec</w:t>
      </w:r>
      <w:r w:rsidR="009B58F3">
        <w:rPr>
          <w:rFonts w:eastAsia="MS Mincho" w:cs="Arial"/>
          <w:b/>
          <w:bCs/>
        </w:rPr>
        <w:t>“</w:t>
      </w:r>
    </w:p>
    <w:p w14:paraId="53B8C915" w14:textId="6429CE38" w:rsidR="000809B6" w:rsidRPr="008E0908" w:rsidRDefault="000809B6" w:rsidP="000809B6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14192C" w:rsidRPr="00867BF5">
        <w:rPr>
          <w:rFonts w:cs="Arial"/>
          <w:bCs/>
        </w:rPr>
        <w:t>par.</w:t>
      </w:r>
      <w:r w:rsidR="0014192C">
        <w:rPr>
          <w:rFonts w:cs="Arial"/>
          <w:bCs/>
        </w:rPr>
        <w:t> </w:t>
      </w:r>
      <w:r w:rsidR="0014192C" w:rsidRPr="00867BF5">
        <w:rPr>
          <w:rFonts w:cs="Arial"/>
          <w:bCs/>
        </w:rPr>
        <w:t xml:space="preserve">č. </w:t>
      </w:r>
      <w:r w:rsidR="0014192C">
        <w:rPr>
          <w:rFonts w:ascii="ArialMT" w:hAnsi="ArialMT" w:cs="ArialMT"/>
        </w:rPr>
        <w:t>2129/9; 2130/18; 2143/13</w:t>
      </w:r>
      <w:r w:rsidR="0014192C" w:rsidRPr="00867BF5">
        <w:rPr>
          <w:rFonts w:cs="Arial"/>
          <w:bCs/>
        </w:rPr>
        <w:t xml:space="preserve">  v k.</w:t>
      </w:r>
      <w:r w:rsidR="0014192C">
        <w:rPr>
          <w:rFonts w:cs="Arial"/>
          <w:bCs/>
        </w:rPr>
        <w:t> </w:t>
      </w:r>
      <w:proofErr w:type="spellStart"/>
      <w:r w:rsidR="0014192C" w:rsidRPr="00867BF5">
        <w:rPr>
          <w:rFonts w:cs="Arial"/>
          <w:bCs/>
        </w:rPr>
        <w:t>ú.</w:t>
      </w:r>
      <w:proofErr w:type="spellEnd"/>
      <w:r w:rsidR="0014192C" w:rsidRPr="00867BF5">
        <w:rPr>
          <w:rFonts w:cs="Arial"/>
          <w:bCs/>
        </w:rPr>
        <w:t xml:space="preserve"> </w:t>
      </w:r>
      <w:r w:rsidR="0014192C">
        <w:rPr>
          <w:rFonts w:cs="Arial"/>
          <w:bCs/>
        </w:rPr>
        <w:t>Humpolec</w:t>
      </w:r>
    </w:p>
    <w:p w14:paraId="73070224" w14:textId="4850BE80" w:rsidR="000809B6" w:rsidRPr="008E0908" w:rsidRDefault="000809B6" w:rsidP="000809B6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14192C">
        <w:rPr>
          <w:rFonts w:eastAsia="MS Mincho" w:cs="Arial"/>
        </w:rPr>
        <w:t>67 749 385 Kč bez DPH</w:t>
      </w:r>
    </w:p>
    <w:p w14:paraId="6EEA2546" w14:textId="26C1FCD3" w:rsidR="000809B6" w:rsidRPr="008E0908" w:rsidRDefault="000809B6" w:rsidP="000809B6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 w:rsidR="00A7512B">
        <w:rPr>
          <w:rFonts w:cs="Arial"/>
        </w:rPr>
        <w:t xml:space="preserve">do </w:t>
      </w:r>
      <w:r w:rsidR="0014192C">
        <w:rPr>
          <w:rFonts w:cs="Arial"/>
        </w:rPr>
        <w:t>16</w:t>
      </w:r>
      <w:r>
        <w:rPr>
          <w:rFonts w:cs="Arial"/>
        </w:rPr>
        <w:t xml:space="preserve"> měsíců</w:t>
      </w:r>
      <w:r w:rsidRPr="008E0908">
        <w:rPr>
          <w:rFonts w:cs="Arial"/>
        </w:rPr>
        <w:t xml:space="preserve"> ode dne předání staveniště</w:t>
      </w:r>
    </w:p>
    <w:p w14:paraId="2C4D877D" w14:textId="0FC0F32F" w:rsidR="00FC2DBC" w:rsidRDefault="000809B6" w:rsidP="000809B6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14192C" w:rsidRPr="0014192C">
        <w:rPr>
          <w:rFonts w:eastAsia="MS Mincho" w:cs="Arial"/>
        </w:rPr>
        <w:t>únor</w:t>
      </w:r>
      <w:r w:rsidRPr="0014192C">
        <w:rPr>
          <w:rFonts w:eastAsia="MS Mincho" w:cs="Arial"/>
        </w:rPr>
        <w:t xml:space="preserve"> 202</w:t>
      </w:r>
      <w:r w:rsidR="009B58F3" w:rsidRPr="0014192C">
        <w:rPr>
          <w:rFonts w:eastAsia="MS Mincho" w:cs="Arial"/>
        </w:rPr>
        <w:t>6</w:t>
      </w:r>
    </w:p>
    <w:p w14:paraId="3BD24522" w14:textId="77777777" w:rsidR="000809B6" w:rsidRPr="008E0908" w:rsidRDefault="000809B6" w:rsidP="000809B6">
      <w:pPr>
        <w:jc w:val="both"/>
        <w:rPr>
          <w:rFonts w:cs="Arial"/>
        </w:rPr>
      </w:pPr>
    </w:p>
    <w:p w14:paraId="193568DB" w14:textId="0DADEFB2" w:rsidR="000809B6" w:rsidRDefault="000809B6" w:rsidP="00FF5DD2">
      <w:pPr>
        <w:jc w:val="both"/>
        <w:rPr>
          <w:rFonts w:eastAsia="MS Mincho"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37990113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="00687AE8" w:rsidRPr="00A326FB">
        <w:t xml:space="preserve">jeho </w:t>
      </w:r>
      <w:r w:rsidR="00687AE8">
        <w:t>předání Zadavateli stavby k doručení</w:t>
      </w:r>
      <w:r w:rsidR="00687AE8" w:rsidRPr="00A326FB">
        <w:t xml:space="preserve"> </w:t>
      </w:r>
      <w:r w:rsidRPr="00A326FB">
        <w:t>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>
        <w:t> </w:t>
      </w:r>
      <w:r w:rsidRPr="00A326FB">
        <w:t xml:space="preserve">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>m zhotovitelem stavby a 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22FD8372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lastRenderedPageBreak/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</w:t>
      </w:r>
      <w:r w:rsidR="00F1027A">
        <w:t xml:space="preserve">bude průběžně </w:t>
      </w:r>
      <w:r w:rsidRPr="00A326FB">
        <w:t>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ed</w:t>
      </w:r>
      <w:r w:rsidRPr="006B71A1">
        <w:t>á</w:t>
      </w:r>
      <w:r w:rsidR="00F1027A">
        <w:t>vat</w:t>
      </w:r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3AEAD6B8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F43281">
        <w:t>Zadavatele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48CFAE37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</w:p>
    <w:p w14:paraId="625B5DA1" w14:textId="77777777" w:rsidR="00252E49" w:rsidRDefault="00252E49" w:rsidP="00252E49">
      <w:pPr>
        <w:spacing w:after="60" w:line="240" w:lineRule="auto"/>
        <w:ind w:left="720"/>
        <w:jc w:val="both"/>
      </w:pP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18477923" w14:textId="5987A149" w:rsidR="005B6E72" w:rsidRPr="005B6E72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  <w:r w:rsidRPr="005B6E72">
        <w:br/>
      </w:r>
    </w:p>
    <w:p w14:paraId="56FAA9E8" w14:textId="77777777" w:rsidR="00EC0B90" w:rsidRPr="005B6E72" w:rsidRDefault="00EC0B90" w:rsidP="00EC0B90">
      <w:pPr>
        <w:pStyle w:val="Odstavecseseznamem"/>
        <w:ind w:left="567"/>
        <w:jc w:val="both"/>
      </w:pPr>
      <w:r w:rsidRPr="00505E6F">
        <w:t>Cena za výkon činností BOZP:</w:t>
      </w:r>
      <w:r w:rsidRPr="00505E6F">
        <w:tab/>
      </w:r>
      <w:r>
        <w:tab/>
      </w:r>
      <w:proofErr w:type="gramStart"/>
      <w:r w:rsidRPr="00240FF3">
        <w:rPr>
          <w:rFonts w:cs="Arial"/>
          <w:i/>
          <w:color w:val="FF0000"/>
        </w:rPr>
        <w:t>doplní</w:t>
      </w:r>
      <w:proofErr w:type="gramEnd"/>
      <w:r w:rsidRPr="00240FF3">
        <w:rPr>
          <w:rFonts w:cs="Arial"/>
          <w:i/>
          <w:color w:val="FF0000"/>
        </w:rPr>
        <w:t xml:space="preserve">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bez DPH</w:t>
      </w:r>
      <w:r w:rsidRPr="00505E6F">
        <w:br/>
      </w:r>
      <w:proofErr w:type="spellStart"/>
      <w:r w:rsidRPr="00505E6F">
        <w:t>DPH</w:t>
      </w:r>
      <w:proofErr w:type="spellEnd"/>
      <w:r w:rsidRPr="00505E6F">
        <w:t xml:space="preserve"> 21% </w:t>
      </w:r>
      <w:r w:rsidRPr="00505E6F">
        <w:tab/>
      </w:r>
      <w:r>
        <w:tab/>
      </w:r>
      <w:r>
        <w:tab/>
      </w:r>
      <w:r>
        <w:tab/>
      </w:r>
      <w:r>
        <w:tab/>
      </w:r>
      <w:proofErr w:type="gramStart"/>
      <w:r w:rsidRPr="00240FF3">
        <w:rPr>
          <w:rFonts w:cs="Arial"/>
          <w:i/>
          <w:color w:val="FF0000"/>
        </w:rPr>
        <w:t>doplní</w:t>
      </w:r>
      <w:proofErr w:type="gramEnd"/>
      <w:r w:rsidRPr="00240FF3">
        <w:rPr>
          <w:rFonts w:cs="Arial"/>
          <w:i/>
          <w:color w:val="FF0000"/>
        </w:rPr>
        <w:t xml:space="preserve">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>
        <w:rPr>
          <w:rFonts w:cs="Arial"/>
          <w:i/>
          <w:color w:val="FF0000"/>
        </w:rPr>
        <w:tab/>
      </w:r>
      <w:r>
        <w:tab/>
      </w:r>
      <w:r w:rsidRPr="00505E6F">
        <w:t>Kč</w:t>
      </w:r>
      <w:r w:rsidRPr="00505E6F">
        <w:br/>
        <w:t>Celková cena:</w:t>
      </w:r>
      <w:r w:rsidRPr="00505E6F">
        <w:tab/>
      </w:r>
      <w:r>
        <w:tab/>
      </w:r>
      <w:r>
        <w:tab/>
      </w:r>
      <w:r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vč. DPH</w:t>
      </w:r>
    </w:p>
    <w:p w14:paraId="0AF4E82B" w14:textId="77777777" w:rsidR="005B6E72" w:rsidRDefault="005B6E72" w:rsidP="005B6E72">
      <w:pPr>
        <w:pStyle w:val="Odstavecseseznamem"/>
        <w:ind w:left="567"/>
        <w:jc w:val="both"/>
        <w:rPr>
          <w:highlight w:val="yellow"/>
        </w:rPr>
      </w:pPr>
    </w:p>
    <w:p w14:paraId="50DDB04F" w14:textId="5DC9AA03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</w:t>
      </w:r>
      <w:proofErr w:type="gramStart"/>
      <w:r w:rsidRPr="005B6E72">
        <w:t>činností  dle</w:t>
      </w:r>
      <w:proofErr w:type="gramEnd"/>
      <w:r w:rsidRPr="005B6E72">
        <w:t xml:space="preserve"> čl. 3 této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1D2A11BB" w14:textId="4AE2CCE8" w:rsidR="00CC7A9F" w:rsidRDefault="00FF0D8D" w:rsidP="00D03972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 w:rsidR="009B2AE3">
        <w:t xml:space="preserve">ra bude </w:t>
      </w:r>
      <w:r w:rsidR="00D03972">
        <w:t xml:space="preserve">hrazena </w:t>
      </w:r>
      <w:r w:rsidR="009B2AE3">
        <w:t>následovně:</w:t>
      </w:r>
    </w:p>
    <w:p w14:paraId="28D62810" w14:textId="6B315E67" w:rsidR="006D38A0" w:rsidRDefault="006D38A0" w:rsidP="005C57CB">
      <w:pPr>
        <w:pStyle w:val="Odstavecseseznamem"/>
        <w:ind w:left="0" w:firstLine="567"/>
      </w:pPr>
      <w:r>
        <w:t xml:space="preserve">- max. </w:t>
      </w:r>
      <w:r w:rsidR="00542984">
        <w:t>70</w:t>
      </w:r>
      <w:r w:rsidR="009B2AE3">
        <w:t xml:space="preserve"> % ze sjednané úplaty za</w:t>
      </w:r>
      <w:r>
        <w:t xml:space="preserve"> období plnění od zahájení do 3</w:t>
      </w:r>
      <w:r w:rsidR="005C57CB">
        <w:t>1</w:t>
      </w:r>
      <w:r>
        <w:t xml:space="preserve">. </w:t>
      </w:r>
      <w:r w:rsidR="005C57CB">
        <w:t>12</w:t>
      </w:r>
      <w:r>
        <w:t>. 2026</w:t>
      </w:r>
      <w:r w:rsidR="009B2AE3">
        <w:t>;</w:t>
      </w:r>
    </w:p>
    <w:p w14:paraId="79DBC43B" w14:textId="264AD488" w:rsidR="009B2AE3" w:rsidRDefault="009B2AE3" w:rsidP="009B2AE3">
      <w:pPr>
        <w:pStyle w:val="Odstavecseseznamem"/>
        <w:ind w:left="0" w:firstLine="567"/>
      </w:pPr>
      <w:r>
        <w:t>- zbývající část ze</w:t>
      </w:r>
      <w:bookmarkStart w:id="0" w:name="_GoBack"/>
      <w:bookmarkEnd w:id="0"/>
      <w:r>
        <w:t xml:space="preserve"> sjednané úplaty po úplném ukončení plnění.</w:t>
      </w:r>
    </w:p>
    <w:p w14:paraId="09356C1C" w14:textId="03DCBAC7" w:rsidR="00D03972" w:rsidRDefault="00D03972" w:rsidP="00D03972">
      <w:pPr>
        <w:jc w:val="both"/>
      </w:pPr>
    </w:p>
    <w:p w14:paraId="3F1775C2" w14:textId="1EE66EE6" w:rsidR="00540409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</w:p>
    <w:p w14:paraId="09391FAF" w14:textId="77777777" w:rsidR="00540409" w:rsidRDefault="00540409" w:rsidP="00540409">
      <w:pPr>
        <w:pStyle w:val="Odstavecseseznamem"/>
        <w:ind w:left="567"/>
        <w:jc w:val="both"/>
      </w:pPr>
    </w:p>
    <w:p w14:paraId="134F8180" w14:textId="5C75FDE2" w:rsidR="00A11D0D" w:rsidRPr="006F235F" w:rsidRDefault="00540409" w:rsidP="00540409">
      <w:pPr>
        <w:pStyle w:val="Odstavecseseznamem"/>
        <w:numPr>
          <w:ilvl w:val="1"/>
          <w:numId w:val="5"/>
        </w:numPr>
        <w:ind w:left="567" w:hanging="573"/>
        <w:jc w:val="both"/>
      </w:pPr>
      <w:r w:rsidRPr="0085483A">
        <w:t>Daňový doklad bude obsahovat název a číslo projektu</w:t>
      </w:r>
      <w:r>
        <w:t xml:space="preserve"> dle pokynů zadavatele stavby.</w:t>
      </w:r>
      <w:r w:rsidR="00A11D0D">
        <w:t xml:space="preserve"> </w:t>
      </w:r>
    </w:p>
    <w:p w14:paraId="68676649" w14:textId="77777777" w:rsidR="00240FF3" w:rsidRDefault="00240FF3" w:rsidP="00A53EF6">
      <w:pPr>
        <w:pStyle w:val="Odstavecseseznamem"/>
        <w:ind w:left="567" w:hanging="573"/>
        <w:jc w:val="both"/>
      </w:pPr>
    </w:p>
    <w:p w14:paraId="16A5DAE5" w14:textId="498C377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4497DAE1" w14:textId="285FB2FA" w:rsidR="00240FF3" w:rsidRDefault="00240FF3" w:rsidP="00A51141">
      <w:pPr>
        <w:pStyle w:val="Podnadpis"/>
      </w:pPr>
    </w:p>
    <w:p w14:paraId="519CF385" w14:textId="4A1100BD" w:rsidR="0078324D" w:rsidRDefault="0078324D" w:rsidP="00144C67">
      <w:pPr>
        <w:pStyle w:val="Podnadpis"/>
        <w:jc w:val="center"/>
      </w:pPr>
    </w:p>
    <w:p w14:paraId="09562CA7" w14:textId="77777777" w:rsidR="00E84C3B" w:rsidRPr="00E84C3B" w:rsidRDefault="00E84C3B" w:rsidP="00E84C3B"/>
    <w:p w14:paraId="39E1AE8A" w14:textId="113C4E85" w:rsidR="00F65E83" w:rsidRDefault="00144C67" w:rsidP="00144C67">
      <w:pPr>
        <w:pStyle w:val="Podnadpis"/>
        <w:jc w:val="center"/>
      </w:pPr>
      <w:r>
        <w:lastRenderedPageBreak/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>smluvní pokutu ve výši 0,05%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65695387" w14:textId="77777777" w:rsidR="00240FF3" w:rsidRDefault="00240FF3" w:rsidP="00A53EF6">
      <w:pPr>
        <w:pStyle w:val="Odstavecseseznamem"/>
        <w:ind w:left="567" w:hanging="573"/>
        <w:jc w:val="both"/>
      </w:pPr>
    </w:p>
    <w:p w14:paraId="0D3D0E3C" w14:textId="55733B11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případě, že činnost </w:t>
      </w:r>
      <w:r w:rsidR="00D93DC9">
        <w:t>K</w:t>
      </w:r>
      <w:r>
        <w:t xml:space="preserve">oordinátora bude vykonávána jinou osobou než osobou, prostřednictvím níž dodavatel prokazoval kvalifikaci, je </w:t>
      </w:r>
      <w:r w:rsidR="005F1355">
        <w:t>K</w:t>
      </w:r>
      <w:r>
        <w:t xml:space="preserve">oordinátor povinen uhradit </w:t>
      </w:r>
      <w:r w:rsidR="00F43281">
        <w:t>Zadavateli stavby</w:t>
      </w:r>
      <w:r>
        <w:t xml:space="preserve"> smluvní pokutu ve výši 2 000 Kč za každé porušení této povinnosti.</w:t>
      </w:r>
      <w:r w:rsidR="005F1355">
        <w:t xml:space="preserve"> Toto ne</w:t>
      </w:r>
      <w:r w:rsidR="0035716B">
        <w:t>platí při postupu dle článku 7.1</w:t>
      </w:r>
      <w:r w:rsidR="005F1355">
        <w:t xml:space="preserve"> Smlouvy.</w:t>
      </w:r>
    </w:p>
    <w:p w14:paraId="2F1593E9" w14:textId="77777777" w:rsidR="00240FF3" w:rsidRDefault="00240FF3" w:rsidP="00A53EF6">
      <w:pPr>
        <w:pStyle w:val="Odstavecseseznamem"/>
        <w:ind w:left="567" w:hanging="573"/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2539CB34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6035A0F6" w14:textId="3C67E7F4" w:rsidR="00485E77" w:rsidRDefault="00485E77" w:rsidP="00485E77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 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54563D38" w14:textId="22DDC879" w:rsidR="003E11AA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 w:rsidRPr="006258C0">
        <w:t xml:space="preserve">Činnosti </w:t>
      </w:r>
      <w:r w:rsidR="00067339">
        <w:t>K</w:t>
      </w:r>
      <w:r w:rsidRPr="006258C0">
        <w:t xml:space="preserve">oordinátora budou vykonávány výhradně osobou, prostřednictvím níž </w:t>
      </w:r>
      <w:r w:rsidR="00F5246C">
        <w:t>Koordinátor</w:t>
      </w:r>
      <w:r w:rsidR="00F5246C" w:rsidRPr="006258C0">
        <w:t xml:space="preserve"> </w:t>
      </w:r>
      <w:r w:rsidRPr="006258C0">
        <w:t>prokazoval kvalifikaci.</w:t>
      </w:r>
      <w:r w:rsidR="008929EE">
        <w:t xml:space="preserve"> </w:t>
      </w:r>
      <w:r w:rsidR="003E11AA">
        <w:t xml:space="preserve">Koordinátor je oprávněn použít ke splnění smlouvy jiné osoby, než </w:t>
      </w:r>
      <w:r w:rsidR="000524F5">
        <w:t>prostřednictvím</w:t>
      </w:r>
      <w:r w:rsidR="003E11AA">
        <w:t xml:space="preserve"> které prokazoval kvalifikaci, pouze v nezbytně nutných případech (onemocnění, apod.)</w:t>
      </w:r>
      <w:r w:rsidR="009E344A">
        <w:t>,</w:t>
      </w:r>
      <w:r w:rsidR="003E11AA">
        <w:t xml:space="preserve"> a to teprve po schválení této osoby </w:t>
      </w:r>
      <w:r w:rsidR="005650E4">
        <w:t>Zadavatelem stavby</w:t>
      </w:r>
      <w:r w:rsidR="003E11AA">
        <w:t>. Musí však vždy jít o osobu</w:t>
      </w:r>
      <w:r w:rsidR="00F5246C">
        <w:t xml:space="preserve"> odborně způsobilou</w:t>
      </w:r>
      <w:r w:rsidR="003E11AA">
        <w:t xml:space="preserve">, jež disponuje </w:t>
      </w:r>
      <w:r w:rsidR="00F5246C">
        <w:t>patřičným Osvědčením o odborné způsobilosti k činnosti koordinátora bezpečnosti a ochrany zdraví při práci na staveništi, vydaném na základě zkoušky z odborné způsobilosti podle zákona č. 309/2006 Sb., kterým se upravují další požadavky bezpečnosti a ochrany zdraví při práci v pracovněprávních vztazích a o zajištění bezpečnosti a ochrany zdraví při činnosti  nebo poskytování služeb mimo pracovněprávní vztahy, ve znění pozdějších předpisů, a podle nařízení vlády č. 592/2006 Sb., o podmínkách akreditace a provádění zkoušek z odborné způsobilosti, ve znění pozdějších předpisů</w:t>
      </w:r>
      <w:r w:rsidR="00C508AC">
        <w:t xml:space="preserve"> a </w:t>
      </w:r>
      <w:r w:rsidR="00C508AC">
        <w:rPr>
          <w:rFonts w:cs="Arial"/>
        </w:rPr>
        <w:t>musí</w:t>
      </w:r>
      <w:r w:rsidR="00F14442">
        <w:rPr>
          <w:rFonts w:cs="Arial"/>
        </w:rPr>
        <w:t xml:space="preserve"> vždy jít o osobu, jež disponuje</w:t>
      </w:r>
      <w:r w:rsidR="00C508AC">
        <w:rPr>
          <w:rFonts w:cs="Arial"/>
        </w:rPr>
        <w:t xml:space="preserve"> minimálně stejným počtem pozemních </w:t>
      </w:r>
      <w:r w:rsidR="00C508AC" w:rsidRPr="00DA51BF">
        <w:rPr>
          <w:rFonts w:cs="Arial"/>
        </w:rPr>
        <w:t>staveb</w:t>
      </w:r>
      <w:r w:rsidR="00C508AC">
        <w:rPr>
          <w:rFonts w:cs="Arial"/>
        </w:rPr>
        <w:t xml:space="preserve">, u nichž prováděla osoba </w:t>
      </w:r>
      <w:r w:rsidR="00F14442">
        <w:rPr>
          <w:rFonts w:cs="Arial"/>
        </w:rPr>
        <w:t>koordinátora BOZP na staveništi</w:t>
      </w:r>
      <w:r w:rsidR="00F5246C">
        <w:t>. Použije-li Koordinátor ke splnění závazku jiné osoby</w:t>
      </w:r>
      <w:r w:rsidR="005650E4">
        <w:t>, dle tohoto článku</w:t>
      </w:r>
      <w:r w:rsidR="00F5246C">
        <w:t>, odpovídá jako by záležitosti obstarával sám.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 xml:space="preserve">Koordinátor je povinen po celou dobu provádění své činnosti dle této smlouvy disponovat potřebnou kvalifikací. Koordinátor je povinen na žádost zadavatele stavby ve lhůtě a </w:t>
      </w:r>
      <w:r>
        <w:lastRenderedPageBreak/>
        <w:t>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03FDE88D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78324D">
        <w:t>torovi veškerou dokumentaci akce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</w:t>
      </w:r>
      <w:r w:rsidR="00E90ABF" w:rsidRPr="00A521E0">
        <w:rPr>
          <w:rFonts w:cs="Arial"/>
        </w:rPr>
        <w:t>akci</w:t>
      </w:r>
      <w:r w:rsidR="00E90ABF">
        <w:rPr>
          <w:rFonts w:cs="Arial"/>
          <w:b/>
        </w:rPr>
        <w:t xml:space="preserve"> „</w:t>
      </w:r>
      <w:r w:rsidR="00E84C3B" w:rsidRPr="004D3073">
        <w:rPr>
          <w:rFonts w:eastAsia="MS Mincho" w:cs="Arial"/>
          <w:b/>
          <w:bCs/>
        </w:rPr>
        <w:t>Výstavba výjezdové základny ZZS KV - Humpolec</w:t>
      </w:r>
      <w:r w:rsidR="00941462">
        <w:rPr>
          <w:rFonts w:cs="Arial"/>
          <w:b/>
        </w:rPr>
        <w:t>“</w:t>
      </w:r>
      <w:r w:rsidR="00B660E9" w:rsidRPr="00F81B01">
        <w:t>)</w:t>
      </w:r>
      <w:r w:rsidR="00B660E9" w:rsidRPr="00F81B01">
        <w:rPr>
          <w:b/>
        </w:rPr>
        <w:t xml:space="preserve"> </w:t>
      </w:r>
      <w:r w:rsidR="00B660E9" w:rsidRPr="00F81B01">
        <w:t>a další dok</w:t>
      </w:r>
      <w:r w:rsidR="00517384">
        <w:t>u</w:t>
      </w:r>
      <w:r w:rsidR="00085D6C">
        <w:t>menty vztahující se k předmětné stavbě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743E0131" w14:textId="77777777" w:rsidR="00437FD0" w:rsidRDefault="00437FD0" w:rsidP="00437FD0">
      <w:pPr>
        <w:jc w:val="both"/>
      </w:pPr>
    </w:p>
    <w:p w14:paraId="09C0A9EB" w14:textId="77777777" w:rsidR="00B660E9" w:rsidRDefault="00B660E9" w:rsidP="00B660E9">
      <w:pPr>
        <w:pStyle w:val="Podnadpis"/>
        <w:jc w:val="center"/>
      </w:pPr>
      <w:r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0C3862F4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067339">
        <w:t>3</w:t>
      </w:r>
      <w:r>
        <w:t xml:space="preserve"> této smlouvy</w:t>
      </w:r>
    </w:p>
    <w:p w14:paraId="5E1F1D06" w14:textId="6A38D1FA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067339">
        <w:t>6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3A36747D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</w:t>
      </w:r>
      <w:r w:rsidR="00C84B9C">
        <w:t>koordinátor</w:t>
      </w:r>
      <w:r w:rsidRPr="00C509A5">
        <w:t xml:space="preserve"> nesplní povinnost uvedenou v čl. </w:t>
      </w:r>
      <w:r>
        <w:t>7</w:t>
      </w:r>
      <w:r w:rsidRPr="00C509A5">
        <w:t xml:space="preserve"> odst. </w:t>
      </w:r>
      <w:r w:rsidR="008929EE">
        <w:t>7.4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76AB71C2" w14:textId="216A5F6D" w:rsidR="009D636F" w:rsidRDefault="009D636F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 xml:space="preserve">Zadavatel stavby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</w:t>
      </w:r>
      <w:r>
        <w:lastRenderedPageBreak/>
        <w:t>Zadavatel stavby – shodně s tím, jak je upraveno v § 223 odst. 2 písm. b) zákona</w:t>
      </w:r>
      <w:r w:rsidR="00752D43">
        <w:t xml:space="preserve"> č. 134/2016 Sb., zákona o zadávání veřejných zakázek, může</w:t>
      </w:r>
      <w:r>
        <w:t xml:space="preserve"> závazek ze smlouvy na veřejnou zakázku vypovědět nebo od ní odstoupit.</w:t>
      </w:r>
    </w:p>
    <w:p w14:paraId="6ED22A6F" w14:textId="77777777" w:rsidR="00303AE0" w:rsidRDefault="00303AE0" w:rsidP="00303AE0">
      <w:pPr>
        <w:pStyle w:val="Odstavecseseznamem"/>
      </w:pP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3D8B60A8" w14:textId="77777777" w:rsidR="008B4BBD" w:rsidRDefault="008B4BBD" w:rsidP="00DE7A32">
      <w:pPr>
        <w:pStyle w:val="Podnadpis"/>
        <w:jc w:val="center"/>
      </w:pPr>
    </w:p>
    <w:p w14:paraId="6CC7A649" w14:textId="25DD45B8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426B2A1B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361CC802" w14:textId="5BB7EC28" w:rsidR="00A53EF6" w:rsidRDefault="00A53EF6" w:rsidP="00841F38">
      <w:pPr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>informačním systému veřejné správy - Registru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>. Smluvní strany výslovně souhlasí, že jejich osobní údaje uvedené 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711451C2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2F6398F6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CB4655F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FA19FDC" w14:textId="02B24A9C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289EFFA" w14:textId="77777777" w:rsidR="00120533" w:rsidRDefault="00120533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79B50D18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C60373">
        <w:rPr>
          <w:rFonts w:eastAsia="MS Mincho"/>
          <w:b/>
          <w:color w:val="auto"/>
          <w:szCs w:val="22"/>
        </w:rPr>
        <w:t>Otto Vopěnka</w:t>
      </w:r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45018F00" w:rsidR="00832D53" w:rsidRPr="00832D53" w:rsidRDefault="00C60373" w:rsidP="00C60373">
      <w:pPr>
        <w:pStyle w:val="Zkladntextodsazen"/>
        <w:tabs>
          <w:tab w:val="left" w:pos="5670"/>
        </w:tabs>
        <w:spacing w:line="260" w:lineRule="exact"/>
      </w:pPr>
      <w:r w:rsidRPr="00C60373">
        <w:rPr>
          <w:bCs/>
          <w:color w:val="auto"/>
          <w:szCs w:val="22"/>
        </w:rPr>
        <w:t>1. náměstek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1534" w14:textId="77777777" w:rsidR="001873CA" w:rsidRDefault="001873CA" w:rsidP="00880F7D">
      <w:pPr>
        <w:spacing w:line="240" w:lineRule="auto"/>
      </w:pPr>
      <w:r>
        <w:separator/>
      </w:r>
    </w:p>
  </w:endnote>
  <w:endnote w:type="continuationSeparator" w:id="0">
    <w:p w14:paraId="3237887D" w14:textId="77777777" w:rsidR="001873CA" w:rsidRDefault="001873CA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454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027DF2" w14:textId="5A84593E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542984">
              <w:rPr>
                <w:b/>
                <w:bCs/>
                <w:noProof/>
                <w:sz w:val="20"/>
                <w:szCs w:val="20"/>
              </w:rPr>
              <w:t>6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542984">
              <w:rPr>
                <w:b/>
                <w:bCs/>
                <w:noProof/>
                <w:sz w:val="20"/>
                <w:szCs w:val="20"/>
              </w:rPr>
              <w:t>6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2DBDC" w14:textId="77777777" w:rsidR="001873CA" w:rsidRDefault="001873CA" w:rsidP="00880F7D">
      <w:pPr>
        <w:spacing w:line="240" w:lineRule="auto"/>
      </w:pPr>
      <w:r>
        <w:separator/>
      </w:r>
    </w:p>
  </w:footnote>
  <w:footnote w:type="continuationSeparator" w:id="0">
    <w:p w14:paraId="4B61C97B" w14:textId="77777777" w:rsidR="001873CA" w:rsidRDefault="001873CA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486960"/>
    <w:multiLevelType w:val="hybridMultilevel"/>
    <w:tmpl w:val="888E561A"/>
    <w:lvl w:ilvl="0" w:tplc="058AF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5"/>
  </w:num>
  <w:num w:numId="5">
    <w:abstractNumId w:val="20"/>
  </w:num>
  <w:num w:numId="6">
    <w:abstractNumId w:val="13"/>
  </w:num>
  <w:num w:numId="7">
    <w:abstractNumId w:val="7"/>
  </w:num>
  <w:num w:numId="8">
    <w:abstractNumId w:val="19"/>
  </w:num>
  <w:num w:numId="9">
    <w:abstractNumId w:val="2"/>
  </w:num>
  <w:num w:numId="10">
    <w:abstractNumId w:val="16"/>
  </w:num>
  <w:num w:numId="11">
    <w:abstractNumId w:val="11"/>
  </w:num>
  <w:num w:numId="12">
    <w:abstractNumId w:val="10"/>
  </w:num>
  <w:num w:numId="13">
    <w:abstractNumId w:val="8"/>
  </w:num>
  <w:num w:numId="14">
    <w:abstractNumId w:val="17"/>
  </w:num>
  <w:num w:numId="15">
    <w:abstractNumId w:val="15"/>
  </w:num>
  <w:num w:numId="16">
    <w:abstractNumId w:val="0"/>
  </w:num>
  <w:num w:numId="17">
    <w:abstractNumId w:val="14"/>
  </w:num>
  <w:num w:numId="18">
    <w:abstractNumId w:val="1"/>
  </w:num>
  <w:num w:numId="19">
    <w:abstractNumId w:val="9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64"/>
    <w:rsid w:val="00005E9B"/>
    <w:rsid w:val="00012A40"/>
    <w:rsid w:val="00024AE4"/>
    <w:rsid w:val="00026FE0"/>
    <w:rsid w:val="000411E1"/>
    <w:rsid w:val="00046001"/>
    <w:rsid w:val="000524F5"/>
    <w:rsid w:val="00067339"/>
    <w:rsid w:val="000809B6"/>
    <w:rsid w:val="00085D6C"/>
    <w:rsid w:val="00091B0F"/>
    <w:rsid w:val="00091E77"/>
    <w:rsid w:val="000A76F4"/>
    <w:rsid w:val="000B39A6"/>
    <w:rsid w:val="000B3FDC"/>
    <w:rsid w:val="000D2692"/>
    <w:rsid w:val="000E1BA8"/>
    <w:rsid w:val="000E4E2E"/>
    <w:rsid w:val="000E7A0B"/>
    <w:rsid w:val="000F3F18"/>
    <w:rsid w:val="00120533"/>
    <w:rsid w:val="001240A7"/>
    <w:rsid w:val="0014166E"/>
    <w:rsid w:val="0014192C"/>
    <w:rsid w:val="00144C67"/>
    <w:rsid w:val="00163BE6"/>
    <w:rsid w:val="00164128"/>
    <w:rsid w:val="001641AB"/>
    <w:rsid w:val="001672D9"/>
    <w:rsid w:val="001757C5"/>
    <w:rsid w:val="001873CA"/>
    <w:rsid w:val="001A30F4"/>
    <w:rsid w:val="001A3C09"/>
    <w:rsid w:val="001B16CD"/>
    <w:rsid w:val="001B242F"/>
    <w:rsid w:val="001E3D0A"/>
    <w:rsid w:val="001F2C03"/>
    <w:rsid w:val="002012A6"/>
    <w:rsid w:val="00207703"/>
    <w:rsid w:val="0022610C"/>
    <w:rsid w:val="002316B5"/>
    <w:rsid w:val="00234148"/>
    <w:rsid w:val="00237C7A"/>
    <w:rsid w:val="00240FF3"/>
    <w:rsid w:val="002437B5"/>
    <w:rsid w:val="00252E49"/>
    <w:rsid w:val="00272981"/>
    <w:rsid w:val="00281089"/>
    <w:rsid w:val="00281364"/>
    <w:rsid w:val="00293615"/>
    <w:rsid w:val="00297ADE"/>
    <w:rsid w:val="002A3780"/>
    <w:rsid w:val="002A7BFE"/>
    <w:rsid w:val="002B4FB7"/>
    <w:rsid w:val="002D7DA4"/>
    <w:rsid w:val="00303AE0"/>
    <w:rsid w:val="003145E6"/>
    <w:rsid w:val="00334F6E"/>
    <w:rsid w:val="0035716B"/>
    <w:rsid w:val="0036172B"/>
    <w:rsid w:val="00372FFC"/>
    <w:rsid w:val="003817D8"/>
    <w:rsid w:val="003A1A9B"/>
    <w:rsid w:val="003A4806"/>
    <w:rsid w:val="003A493E"/>
    <w:rsid w:val="003A58A5"/>
    <w:rsid w:val="003A6318"/>
    <w:rsid w:val="003E11AA"/>
    <w:rsid w:val="003E64CB"/>
    <w:rsid w:val="0040159E"/>
    <w:rsid w:val="00402860"/>
    <w:rsid w:val="0040742D"/>
    <w:rsid w:val="004126DA"/>
    <w:rsid w:val="004259A1"/>
    <w:rsid w:val="0042789E"/>
    <w:rsid w:val="00432AC9"/>
    <w:rsid w:val="0043480D"/>
    <w:rsid w:val="00437FD0"/>
    <w:rsid w:val="004466FD"/>
    <w:rsid w:val="00450A5B"/>
    <w:rsid w:val="0045716C"/>
    <w:rsid w:val="00457F45"/>
    <w:rsid w:val="00475CAA"/>
    <w:rsid w:val="0047623C"/>
    <w:rsid w:val="004779CF"/>
    <w:rsid w:val="00483614"/>
    <w:rsid w:val="00485E77"/>
    <w:rsid w:val="00487647"/>
    <w:rsid w:val="004906E3"/>
    <w:rsid w:val="0049442B"/>
    <w:rsid w:val="004A0903"/>
    <w:rsid w:val="004B0BCC"/>
    <w:rsid w:val="004C51D5"/>
    <w:rsid w:val="004C74BA"/>
    <w:rsid w:val="004D2D11"/>
    <w:rsid w:val="004D6891"/>
    <w:rsid w:val="004D7587"/>
    <w:rsid w:val="004F45A3"/>
    <w:rsid w:val="004F5813"/>
    <w:rsid w:val="00505E6F"/>
    <w:rsid w:val="00517384"/>
    <w:rsid w:val="00520A58"/>
    <w:rsid w:val="0052648A"/>
    <w:rsid w:val="00535C97"/>
    <w:rsid w:val="00540409"/>
    <w:rsid w:val="00542984"/>
    <w:rsid w:val="005441F6"/>
    <w:rsid w:val="00547FE6"/>
    <w:rsid w:val="00550B13"/>
    <w:rsid w:val="00551823"/>
    <w:rsid w:val="0056362A"/>
    <w:rsid w:val="005650E4"/>
    <w:rsid w:val="005706D3"/>
    <w:rsid w:val="00572440"/>
    <w:rsid w:val="00576202"/>
    <w:rsid w:val="00576C99"/>
    <w:rsid w:val="005802EC"/>
    <w:rsid w:val="00594DF7"/>
    <w:rsid w:val="005A054C"/>
    <w:rsid w:val="005A0817"/>
    <w:rsid w:val="005B225C"/>
    <w:rsid w:val="005B3E1C"/>
    <w:rsid w:val="005B6E72"/>
    <w:rsid w:val="005C57CB"/>
    <w:rsid w:val="005D3AE2"/>
    <w:rsid w:val="005E0D9C"/>
    <w:rsid w:val="005E3C6B"/>
    <w:rsid w:val="005F1355"/>
    <w:rsid w:val="005F391D"/>
    <w:rsid w:val="00601D1C"/>
    <w:rsid w:val="006059DE"/>
    <w:rsid w:val="00607EBB"/>
    <w:rsid w:val="00617E61"/>
    <w:rsid w:val="00622EB9"/>
    <w:rsid w:val="006446C5"/>
    <w:rsid w:val="00652AAD"/>
    <w:rsid w:val="00654952"/>
    <w:rsid w:val="0065671F"/>
    <w:rsid w:val="00661858"/>
    <w:rsid w:val="00673EBF"/>
    <w:rsid w:val="00676043"/>
    <w:rsid w:val="00683140"/>
    <w:rsid w:val="00687AE8"/>
    <w:rsid w:val="00691359"/>
    <w:rsid w:val="00692935"/>
    <w:rsid w:val="006934A7"/>
    <w:rsid w:val="006C5621"/>
    <w:rsid w:val="006D38A0"/>
    <w:rsid w:val="006E6741"/>
    <w:rsid w:val="006F235F"/>
    <w:rsid w:val="006F55F8"/>
    <w:rsid w:val="00715C30"/>
    <w:rsid w:val="007342D5"/>
    <w:rsid w:val="00751551"/>
    <w:rsid w:val="00752D43"/>
    <w:rsid w:val="007737FD"/>
    <w:rsid w:val="0078324D"/>
    <w:rsid w:val="0079179D"/>
    <w:rsid w:val="00792073"/>
    <w:rsid w:val="007A1874"/>
    <w:rsid w:val="007A4642"/>
    <w:rsid w:val="007B330B"/>
    <w:rsid w:val="007B5D27"/>
    <w:rsid w:val="007C5587"/>
    <w:rsid w:val="007E374E"/>
    <w:rsid w:val="007F2BC4"/>
    <w:rsid w:val="00832D53"/>
    <w:rsid w:val="00841F38"/>
    <w:rsid w:val="00844B89"/>
    <w:rsid w:val="008579CC"/>
    <w:rsid w:val="00876B49"/>
    <w:rsid w:val="0087733C"/>
    <w:rsid w:val="00880F7D"/>
    <w:rsid w:val="008929EE"/>
    <w:rsid w:val="008A043F"/>
    <w:rsid w:val="008B29F5"/>
    <w:rsid w:val="008B2F68"/>
    <w:rsid w:val="008B4BBD"/>
    <w:rsid w:val="008C54F4"/>
    <w:rsid w:val="008C700C"/>
    <w:rsid w:val="008D7E36"/>
    <w:rsid w:val="008E0908"/>
    <w:rsid w:val="008F5496"/>
    <w:rsid w:val="0090042B"/>
    <w:rsid w:val="00906DFF"/>
    <w:rsid w:val="00941462"/>
    <w:rsid w:val="009418A5"/>
    <w:rsid w:val="00954D14"/>
    <w:rsid w:val="00963A33"/>
    <w:rsid w:val="00992F0A"/>
    <w:rsid w:val="009967B3"/>
    <w:rsid w:val="009B05AA"/>
    <w:rsid w:val="009B2AE3"/>
    <w:rsid w:val="009B58F3"/>
    <w:rsid w:val="009D1A06"/>
    <w:rsid w:val="009D636F"/>
    <w:rsid w:val="009E2DC2"/>
    <w:rsid w:val="009E344A"/>
    <w:rsid w:val="009F5117"/>
    <w:rsid w:val="009F77D3"/>
    <w:rsid w:val="00A008F7"/>
    <w:rsid w:val="00A11D0D"/>
    <w:rsid w:val="00A25579"/>
    <w:rsid w:val="00A27DF1"/>
    <w:rsid w:val="00A3133B"/>
    <w:rsid w:val="00A32159"/>
    <w:rsid w:val="00A4541F"/>
    <w:rsid w:val="00A51141"/>
    <w:rsid w:val="00A521E0"/>
    <w:rsid w:val="00A53864"/>
    <w:rsid w:val="00A53EF6"/>
    <w:rsid w:val="00A652E9"/>
    <w:rsid w:val="00A7512B"/>
    <w:rsid w:val="00A76556"/>
    <w:rsid w:val="00A80218"/>
    <w:rsid w:val="00A84E77"/>
    <w:rsid w:val="00A90CFA"/>
    <w:rsid w:val="00A941AC"/>
    <w:rsid w:val="00A949D2"/>
    <w:rsid w:val="00A95BC9"/>
    <w:rsid w:val="00A95FD0"/>
    <w:rsid w:val="00AA4E62"/>
    <w:rsid w:val="00AA6E4F"/>
    <w:rsid w:val="00AC59C6"/>
    <w:rsid w:val="00AE2DA4"/>
    <w:rsid w:val="00AE4F32"/>
    <w:rsid w:val="00AF00C2"/>
    <w:rsid w:val="00B00642"/>
    <w:rsid w:val="00B01C2E"/>
    <w:rsid w:val="00B1462A"/>
    <w:rsid w:val="00B2607C"/>
    <w:rsid w:val="00B31660"/>
    <w:rsid w:val="00B35B5E"/>
    <w:rsid w:val="00B421C1"/>
    <w:rsid w:val="00B451B6"/>
    <w:rsid w:val="00B56190"/>
    <w:rsid w:val="00B57A5E"/>
    <w:rsid w:val="00B57CFF"/>
    <w:rsid w:val="00B62F6C"/>
    <w:rsid w:val="00B660E9"/>
    <w:rsid w:val="00B82E8D"/>
    <w:rsid w:val="00B84C6C"/>
    <w:rsid w:val="00B96551"/>
    <w:rsid w:val="00BA0BF9"/>
    <w:rsid w:val="00BB4014"/>
    <w:rsid w:val="00BC345A"/>
    <w:rsid w:val="00BC5D95"/>
    <w:rsid w:val="00BC7D8F"/>
    <w:rsid w:val="00BD3D05"/>
    <w:rsid w:val="00BD52BD"/>
    <w:rsid w:val="00BF5624"/>
    <w:rsid w:val="00C077D2"/>
    <w:rsid w:val="00C24578"/>
    <w:rsid w:val="00C25E24"/>
    <w:rsid w:val="00C2650E"/>
    <w:rsid w:val="00C44A78"/>
    <w:rsid w:val="00C508AC"/>
    <w:rsid w:val="00C509A5"/>
    <w:rsid w:val="00C5529F"/>
    <w:rsid w:val="00C60373"/>
    <w:rsid w:val="00C61E1A"/>
    <w:rsid w:val="00C84B9C"/>
    <w:rsid w:val="00C950E2"/>
    <w:rsid w:val="00CA366F"/>
    <w:rsid w:val="00CA41F0"/>
    <w:rsid w:val="00CC2463"/>
    <w:rsid w:val="00CC7A9F"/>
    <w:rsid w:val="00CE3775"/>
    <w:rsid w:val="00CE67E1"/>
    <w:rsid w:val="00CF5BEA"/>
    <w:rsid w:val="00D03972"/>
    <w:rsid w:val="00D14406"/>
    <w:rsid w:val="00D23F6D"/>
    <w:rsid w:val="00D27DCB"/>
    <w:rsid w:val="00D329F0"/>
    <w:rsid w:val="00D37CF3"/>
    <w:rsid w:val="00D524CA"/>
    <w:rsid w:val="00D85159"/>
    <w:rsid w:val="00D92F8B"/>
    <w:rsid w:val="00D93DC9"/>
    <w:rsid w:val="00D94649"/>
    <w:rsid w:val="00D974C3"/>
    <w:rsid w:val="00DB1B68"/>
    <w:rsid w:val="00DC0B11"/>
    <w:rsid w:val="00DC10D9"/>
    <w:rsid w:val="00DD11A5"/>
    <w:rsid w:val="00DD5083"/>
    <w:rsid w:val="00DE7A32"/>
    <w:rsid w:val="00DF4D9F"/>
    <w:rsid w:val="00E069C8"/>
    <w:rsid w:val="00E35D85"/>
    <w:rsid w:val="00E376A0"/>
    <w:rsid w:val="00E4264E"/>
    <w:rsid w:val="00E50B8A"/>
    <w:rsid w:val="00E814FA"/>
    <w:rsid w:val="00E81941"/>
    <w:rsid w:val="00E84C3B"/>
    <w:rsid w:val="00E857E6"/>
    <w:rsid w:val="00E90ABF"/>
    <w:rsid w:val="00E95A2F"/>
    <w:rsid w:val="00E96801"/>
    <w:rsid w:val="00EA1E75"/>
    <w:rsid w:val="00EA5C0F"/>
    <w:rsid w:val="00EA7EE9"/>
    <w:rsid w:val="00EB2D35"/>
    <w:rsid w:val="00EC0B90"/>
    <w:rsid w:val="00EC2318"/>
    <w:rsid w:val="00ED1FC6"/>
    <w:rsid w:val="00ED7855"/>
    <w:rsid w:val="00EE24AC"/>
    <w:rsid w:val="00EF3AFE"/>
    <w:rsid w:val="00EF3D22"/>
    <w:rsid w:val="00EF4C8E"/>
    <w:rsid w:val="00EF510B"/>
    <w:rsid w:val="00F01F76"/>
    <w:rsid w:val="00F1027A"/>
    <w:rsid w:val="00F10CA9"/>
    <w:rsid w:val="00F14442"/>
    <w:rsid w:val="00F1456C"/>
    <w:rsid w:val="00F17CCF"/>
    <w:rsid w:val="00F34470"/>
    <w:rsid w:val="00F43281"/>
    <w:rsid w:val="00F500ED"/>
    <w:rsid w:val="00F5246C"/>
    <w:rsid w:val="00F563E1"/>
    <w:rsid w:val="00F569CB"/>
    <w:rsid w:val="00F65E83"/>
    <w:rsid w:val="00F81B01"/>
    <w:rsid w:val="00F82D33"/>
    <w:rsid w:val="00F87989"/>
    <w:rsid w:val="00FA23B6"/>
    <w:rsid w:val="00FB156D"/>
    <w:rsid w:val="00FB5EAA"/>
    <w:rsid w:val="00FC2DBC"/>
    <w:rsid w:val="00FC31BA"/>
    <w:rsid w:val="00FC6C8E"/>
    <w:rsid w:val="00FD7CA1"/>
    <w:rsid w:val="00FE06DF"/>
    <w:rsid w:val="00FE0B52"/>
    <w:rsid w:val="00FF0D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3B5B-2BAE-40F4-9391-2D1B59F6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2428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100</cp:revision>
  <cp:lastPrinted>2025-02-14T08:03:00Z</cp:lastPrinted>
  <dcterms:created xsi:type="dcterms:W3CDTF">2024-05-09T12:28:00Z</dcterms:created>
  <dcterms:modified xsi:type="dcterms:W3CDTF">2025-10-23T11:52:00Z</dcterms:modified>
</cp:coreProperties>
</file>