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63E84BC5"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9B5819" w:rsidRPr="009B5819">
        <w:rPr>
          <w:b/>
          <w:lang w:eastAsia="ar-SA"/>
        </w:rPr>
        <w:t>Dodávk</w:t>
      </w:r>
      <w:r w:rsidR="007B473C">
        <w:rPr>
          <w:b/>
          <w:lang w:eastAsia="ar-SA"/>
        </w:rPr>
        <w:t>a</w:t>
      </w:r>
      <w:r w:rsidR="009B5819" w:rsidRPr="009B5819">
        <w:rPr>
          <w:b/>
          <w:lang w:eastAsia="ar-SA"/>
        </w:rPr>
        <w:t xml:space="preserve"> kapsových a HEPA filtrů pro vzduchotechniku</w:t>
      </w:r>
      <w:r w:rsidR="002A170E" w:rsidRPr="008F1528">
        <w:rPr>
          <w:b/>
          <w:lang w:eastAsia="ar-SA"/>
        </w:rPr>
        <w:t>“</w:t>
      </w:r>
      <w:r w:rsidR="00E95B74">
        <w:rPr>
          <w:lang w:eastAsia="ar-SA"/>
        </w:rPr>
        <w:t xml:space="preserve">, vyhlášené </w:t>
      </w:r>
      <w:r w:rsidR="00AC364B">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00B8EEAD" w14:textId="1A4D3248" w:rsidR="00213039" w:rsidRPr="00F70504" w:rsidRDefault="00213039" w:rsidP="00213039">
      <w:pPr>
        <w:numPr>
          <w:ilvl w:val="0"/>
          <w:numId w:val="8"/>
        </w:numPr>
        <w:spacing w:before="138" w:after="0" w:line="240" w:lineRule="auto"/>
        <w:ind w:left="567" w:hanging="425"/>
        <w:jc w:val="both"/>
        <w:rPr>
          <w:bCs/>
        </w:rPr>
      </w:pPr>
      <w:r>
        <w:rPr>
          <w:bCs/>
        </w:rPr>
        <w:t xml:space="preserve">dodávka </w:t>
      </w:r>
      <w:r>
        <w:rPr>
          <w:b/>
        </w:rPr>
        <w:t>kapsových a HEPA filtrů pro vzduchotechniku</w:t>
      </w:r>
      <w:r>
        <w:rPr>
          <w:bCs/>
        </w:rPr>
        <w:t xml:space="preserve"> (dále jen „zboží“), </w:t>
      </w:r>
      <w:r w:rsidRPr="00120B47">
        <w:rPr>
          <w:bCs/>
        </w:rPr>
        <w:t xml:space="preserve">dle specifikace </w:t>
      </w:r>
      <w:r>
        <w:rPr>
          <w:bCs/>
        </w:rPr>
        <w:t xml:space="preserve">uvedené </w:t>
      </w:r>
      <w:r w:rsidR="00B536B7">
        <w:rPr>
          <w:bCs/>
        </w:rPr>
        <w:br/>
      </w:r>
      <w:r>
        <w:rPr>
          <w:bCs/>
        </w:rPr>
        <w:t xml:space="preserve">v </w:t>
      </w:r>
      <w:r w:rsidRPr="006D6866">
        <w:t xml:space="preserve">Příloze č. </w:t>
      </w:r>
      <w:r>
        <w:t>3 zadávací dokumentace – Technická specifikace předmětu plnění,</w:t>
      </w:r>
      <w:r>
        <w:rPr>
          <w:bCs/>
        </w:rPr>
        <w:t xml:space="preserve"> </w:t>
      </w:r>
    </w:p>
    <w:p w14:paraId="51A923E2" w14:textId="77777777" w:rsidR="00213039" w:rsidRPr="00C04C45" w:rsidRDefault="00213039" w:rsidP="00213039">
      <w:pPr>
        <w:numPr>
          <w:ilvl w:val="0"/>
          <w:numId w:val="8"/>
        </w:numPr>
        <w:spacing w:before="138" w:after="0" w:line="240" w:lineRule="auto"/>
        <w:ind w:left="567" w:hanging="425"/>
        <w:jc w:val="both"/>
        <w:rPr>
          <w:bCs/>
        </w:rPr>
      </w:pPr>
      <w:r>
        <w:rPr>
          <w:bCs/>
        </w:rPr>
        <w:t xml:space="preserve">doprava na místo plnění, včetně likvidace obalových materiálů, </w:t>
      </w:r>
    </w:p>
    <w:p w14:paraId="385E1FE4" w14:textId="1E8EBECA" w:rsidR="005E31C1" w:rsidRDefault="00213039" w:rsidP="005E31C1">
      <w:pPr>
        <w:numPr>
          <w:ilvl w:val="0"/>
          <w:numId w:val="8"/>
        </w:numPr>
        <w:spacing w:before="138" w:after="0" w:line="240" w:lineRule="auto"/>
        <w:ind w:left="567" w:hanging="425"/>
        <w:jc w:val="both"/>
        <w:rPr>
          <w:bCs/>
        </w:rPr>
      </w:pPr>
      <w:r w:rsidRPr="00BB65C9">
        <w:rPr>
          <w:bCs/>
        </w:rPr>
        <w:t xml:space="preserve">dodání prohlášení o shodě </w:t>
      </w:r>
      <w:r>
        <w:rPr>
          <w:bCs/>
        </w:rPr>
        <w:t xml:space="preserve">dle ČSN EN 10204 a technické listy filtrů, popř. další doklady, osvědčení </w:t>
      </w:r>
      <w:r w:rsidR="00B536B7">
        <w:rPr>
          <w:bCs/>
        </w:rPr>
        <w:br/>
      </w:r>
      <w:r>
        <w:rPr>
          <w:bCs/>
        </w:rPr>
        <w:t>a certifikáty vztahující se k předmětu plnění</w:t>
      </w:r>
      <w:r w:rsidR="005E31C1">
        <w:rPr>
          <w:bCs/>
        </w:rPr>
        <w:t>,</w:t>
      </w:r>
    </w:p>
    <w:p w14:paraId="23BD2FFC" w14:textId="5B77B423" w:rsidR="005E31C1" w:rsidRPr="005E31C1" w:rsidRDefault="005E31C1" w:rsidP="005E31C1">
      <w:pPr>
        <w:numPr>
          <w:ilvl w:val="0"/>
          <w:numId w:val="8"/>
        </w:numPr>
        <w:spacing w:before="138" w:after="0" w:line="240" w:lineRule="auto"/>
        <w:ind w:left="567" w:hanging="425"/>
        <w:jc w:val="both"/>
        <w:rPr>
          <w:bCs/>
        </w:rPr>
      </w:pPr>
      <w:r w:rsidRPr="005E31C1">
        <w:rPr>
          <w:bCs/>
        </w:rPr>
        <w:t xml:space="preserve">poskytnutí soupisu jednotlivých prvků zařízení (souborů movitých věcí), které budou předmětem dodávky s uvedením jejich jednotkových cen a množství v </w:t>
      </w:r>
      <w:r w:rsidRPr="005E31C1">
        <w:rPr>
          <w:b/>
        </w:rPr>
        <w:t>příloze č. 2 kupní smlouvy</w:t>
      </w:r>
      <w:r w:rsidRPr="005E31C1">
        <w:rPr>
          <w:bCs/>
        </w:rPr>
        <w:t xml:space="preserve"> (Kupní ceny).</w:t>
      </w:r>
    </w:p>
    <w:p w14:paraId="07C844B8" w14:textId="77777777" w:rsidR="00213039" w:rsidRDefault="00213039" w:rsidP="00213039">
      <w:pPr>
        <w:numPr>
          <w:ilvl w:val="0"/>
          <w:numId w:val="8"/>
        </w:numPr>
        <w:spacing w:before="138" w:after="0" w:line="240" w:lineRule="auto"/>
        <w:ind w:left="567" w:hanging="425"/>
        <w:jc w:val="both"/>
        <w:rPr>
          <w:bCs/>
        </w:rPr>
      </w:pPr>
      <w:r>
        <w:rPr>
          <w:bCs/>
        </w:rPr>
        <w:t>Dodávka, zatřídění a značení filtrů se řídí normou ČSN EN ISO 16890 a ČSN EN 1822 pro klasifikaci filtrů (dovolená tolerance účinnosti filtrů dle normy ČSN EN ISO 16890 je +/- 10 %).</w:t>
      </w:r>
    </w:p>
    <w:p w14:paraId="29010423" w14:textId="77777777" w:rsidR="00213039" w:rsidRPr="00040120" w:rsidRDefault="00213039" w:rsidP="00213039">
      <w:pPr>
        <w:numPr>
          <w:ilvl w:val="0"/>
          <w:numId w:val="8"/>
        </w:numPr>
        <w:spacing w:before="138" w:after="0" w:line="240" w:lineRule="auto"/>
        <w:ind w:left="567" w:hanging="425"/>
        <w:jc w:val="both"/>
        <w:rPr>
          <w:bCs/>
        </w:rPr>
      </w:pPr>
      <w:r w:rsidRPr="00040120">
        <w:rPr>
          <w:bCs/>
        </w:rPr>
        <w:lastRenderedPageBreak/>
        <w:t xml:space="preserve">Účastník nebo jeho mateřská společnost musí být držitelem platného certifikátu </w:t>
      </w:r>
      <w:r w:rsidRPr="00040120">
        <w:rPr>
          <w:b/>
        </w:rPr>
        <w:t>Eurovent Certita Certification</w:t>
      </w:r>
      <w:r w:rsidRPr="00040120">
        <w:rPr>
          <w:bCs/>
        </w:rPr>
        <w:t xml:space="preserve"> pro výrobce vzduchových filtrů v souladu s pravidly certifikace: ECP FIL – vzduchové filtry. </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30B004C" w14:textId="53F41A65"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209E8D8B" w14:textId="77777777" w:rsidR="004A38E8" w:rsidRDefault="00E118B9" w:rsidP="004A38E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05C11ECF" w14:textId="77777777" w:rsidR="004A38E8" w:rsidRDefault="004A38E8" w:rsidP="004A38E8">
      <w:pPr>
        <w:suppressAutoHyphens/>
        <w:spacing w:before="120" w:after="0" w:line="240" w:lineRule="auto"/>
        <w:ind w:left="567"/>
        <w:jc w:val="both"/>
        <w:rPr>
          <w:rFonts w:eastAsia="Times New Roman" w:cs="Calibri"/>
          <w:b/>
          <w:color w:val="000000"/>
          <w:lang w:eastAsia="ar-SA"/>
        </w:rPr>
      </w:pPr>
      <w:r w:rsidRPr="004A38E8">
        <w:rPr>
          <w:bCs/>
        </w:rPr>
        <w:t>Realizace předmětu plnění veřejné zakázky bude zahájena dnem nabytí účinnosti kupní smlouvy (dnem zveřejnění v Registru smluv).</w:t>
      </w:r>
    </w:p>
    <w:p w14:paraId="473245F9" w14:textId="105F7DD0" w:rsidR="00E118B9" w:rsidRPr="004A38E8" w:rsidRDefault="004A38E8" w:rsidP="004A38E8">
      <w:pPr>
        <w:suppressAutoHyphens/>
        <w:spacing w:before="120" w:after="0" w:line="240" w:lineRule="auto"/>
        <w:ind w:left="567"/>
        <w:jc w:val="both"/>
        <w:rPr>
          <w:rFonts w:eastAsia="Times New Roman" w:cs="Calibri"/>
          <w:b/>
          <w:color w:val="000000"/>
          <w:lang w:eastAsia="ar-SA"/>
        </w:rPr>
      </w:pPr>
      <w:r>
        <w:rPr>
          <w:bCs/>
        </w:rPr>
        <w:t>Do</w:t>
      </w:r>
      <w:r w:rsidRPr="006F6D59">
        <w:rPr>
          <w:bCs/>
        </w:rPr>
        <w:t xml:space="preserve">davatel </w:t>
      </w:r>
      <w:r>
        <w:rPr>
          <w:bCs/>
        </w:rPr>
        <w:t xml:space="preserve">je </w:t>
      </w:r>
      <w:r w:rsidRPr="006F6D59">
        <w:rPr>
          <w:bCs/>
        </w:rPr>
        <w:t>povinen dodat kompletní předmět veřejné zakázky</w:t>
      </w:r>
      <w:r>
        <w:rPr>
          <w:bCs/>
        </w:rPr>
        <w:t xml:space="preserve"> </w:t>
      </w:r>
      <w:r w:rsidRPr="006F6D59">
        <w:rPr>
          <w:bCs/>
        </w:rPr>
        <w:t xml:space="preserve">do </w:t>
      </w:r>
      <w:r>
        <w:rPr>
          <w:b/>
          <w:u w:val="single"/>
        </w:rPr>
        <w:t>60</w:t>
      </w:r>
      <w:r w:rsidRPr="006F6D59">
        <w:rPr>
          <w:b/>
          <w:u w:val="single"/>
        </w:rPr>
        <w:t xml:space="preserve"> kalendářních dnů</w:t>
      </w:r>
      <w:r>
        <w:rPr>
          <w:bCs/>
        </w:rPr>
        <w:t xml:space="preserve"> od nabytí účinnosti kupní smlouvy.</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51C4E313"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6D569120"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lastRenderedPageBreak/>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00159B9D" w14:textId="7095926E" w:rsidR="00815572" w:rsidRPr="00FD73CA" w:rsidRDefault="006B4CE7" w:rsidP="00815572">
      <w:pPr>
        <w:shd w:val="clear" w:color="auto" w:fill="D9D9D9"/>
        <w:spacing w:before="120" w:after="120" w:line="240" w:lineRule="auto"/>
        <w:ind w:left="567"/>
        <w:jc w:val="both"/>
        <w:rPr>
          <w:color w:val="0000FF"/>
          <w:lang w:eastAsia="ar-SA"/>
        </w:rPr>
      </w:pPr>
      <w:r>
        <w:rPr>
          <w:b/>
          <w:bCs/>
          <w:lang w:eastAsia="ar-SA"/>
        </w:rPr>
        <w:t>Jiří Karel</w:t>
      </w:r>
      <w:r w:rsidR="005674BF">
        <w:rPr>
          <w:b/>
          <w:bCs/>
          <w:lang w:eastAsia="ar-SA"/>
        </w:rPr>
        <w:t xml:space="preserve">, </w:t>
      </w:r>
      <w:r w:rsidR="00951740">
        <w:rPr>
          <w:b/>
          <w:bCs/>
          <w:lang w:eastAsia="ar-SA"/>
        </w:rPr>
        <w:t>vedoucí pracovník vzduchotechniky</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F643D9">
        <w:t> </w:t>
      </w:r>
      <w:r w:rsidR="004A2019">
        <w:t>567</w:t>
      </w:r>
      <w:r w:rsidR="00F643D9">
        <w:t xml:space="preserve"> </w:t>
      </w:r>
      <w:r w:rsidR="004A2019">
        <w:t>157</w:t>
      </w:r>
      <w:r w:rsidR="00F643D9">
        <w:t xml:space="preserve"> 750</w:t>
      </w:r>
      <w:r w:rsidR="00D51157" w:rsidRPr="00D51157">
        <w:rPr>
          <w:lang w:eastAsia="ar-SA"/>
        </w:rPr>
        <w:t xml:space="preserve">, </w:t>
      </w:r>
      <w:hyperlink r:id="rId12" w:history="1">
        <w:r w:rsidR="00F643D9" w:rsidRPr="00F408F3">
          <w:rPr>
            <w:rStyle w:val="Hypertextovodkaz"/>
            <w:lang w:eastAsia="ar-SA"/>
          </w:rPr>
          <w:t>karelj@nemji.cz</w:t>
        </w:r>
      </w:hyperlink>
      <w:r w:rsidR="00C84FD5">
        <w:rPr>
          <w:rStyle w:val="Hypertextovodkaz"/>
          <w:u w:val="none"/>
          <w:lang w:eastAsia="ar-SA"/>
        </w:rPr>
        <w:t xml:space="preserve"> </w:t>
      </w:r>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lastRenderedPageBreak/>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3"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3"/>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4"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4"/>
      <w:r w:rsidR="002D6EAF">
        <w:fldChar w:fldCharType="begin">
          <w:ffData>
            <w:name w:val="Text9"/>
            <w:enabled/>
            <w:calcOnExit w:val="0"/>
            <w:textInput/>
          </w:ffData>
        </w:fldChar>
      </w:r>
      <w:bookmarkStart w:id="5"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5"/>
      <w:r w:rsidR="00551DA1">
        <w:t xml:space="preserve">či e-mailem na </w:t>
      </w:r>
      <w:r w:rsidR="00551DA1">
        <w:fldChar w:fldCharType="begin">
          <w:ffData>
            <w:name w:val="Text5"/>
            <w:enabled/>
            <w:calcOnExit w:val="0"/>
            <w:textInput/>
          </w:ffData>
        </w:fldChar>
      </w:r>
      <w:bookmarkStart w:id="6"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6"/>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67531458" w14:textId="77777777" w:rsidR="00614FFC"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61E67B3E" w14:textId="73EF0A4D" w:rsidR="005E164C" w:rsidRDefault="000672A0" w:rsidP="005E164C">
      <w:pPr>
        <w:pStyle w:val="Nadpis1"/>
        <w:numPr>
          <w:ilvl w:val="0"/>
          <w:numId w:val="6"/>
        </w:numPr>
      </w:pPr>
      <w:r w:rsidRPr="000672A0">
        <w:t>Prohlášení o kvalitě a certifikaci</w:t>
      </w:r>
    </w:p>
    <w:p w14:paraId="4D734059" w14:textId="77777777" w:rsidR="005E164C" w:rsidRPr="005E164C" w:rsidRDefault="005E164C" w:rsidP="005E164C">
      <w:pPr>
        <w:spacing w:after="0"/>
        <w:rPr>
          <w:lang w:eastAsia="cs-CZ"/>
        </w:rPr>
      </w:pPr>
    </w:p>
    <w:p w14:paraId="0C6E329E" w14:textId="14934B33" w:rsidR="000672A0" w:rsidRPr="000672A0" w:rsidRDefault="005E164C" w:rsidP="005E164C">
      <w:pPr>
        <w:ind w:left="567" w:hanging="567"/>
        <w:jc w:val="both"/>
        <w:rPr>
          <w:lang w:eastAsia="cs-CZ"/>
        </w:rPr>
      </w:pPr>
      <w:r w:rsidRPr="005E164C">
        <w:rPr>
          <w:b/>
          <w:bCs/>
          <w:lang w:eastAsia="cs-CZ"/>
        </w:rPr>
        <w:t>7.1.</w:t>
      </w:r>
      <w:r>
        <w:rPr>
          <w:lang w:eastAsia="cs-CZ"/>
        </w:rPr>
        <w:t xml:space="preserve">  </w:t>
      </w:r>
      <w:r w:rsidR="00040015">
        <w:rPr>
          <w:lang w:eastAsia="cs-CZ"/>
        </w:rPr>
        <w:t xml:space="preserve">Dodavatel prohlašuje, že sám nebo prostřednictvím své mateřské společnosti je držitelem platné certifikace </w:t>
      </w:r>
      <w:r w:rsidR="00040015" w:rsidRPr="005E164C">
        <w:rPr>
          <w:b/>
          <w:bCs/>
          <w:lang w:eastAsia="cs-CZ"/>
        </w:rPr>
        <w:t>Eurovent Certita Certification</w:t>
      </w:r>
      <w:r w:rsidR="00040015">
        <w:rPr>
          <w:lang w:eastAsia="cs-CZ"/>
        </w:rPr>
        <w:t xml:space="preserve"> pro výrobce vzduchových filtrů. Tato certifikace potvrzuje splnění požadavků na systém řízení kvality výroby a výkonnost produktů dle standardu Eurovent. Dodavatel se zavazuje doložit na požádání objednatele platný certifikát a vlastnický vztah mezi ním </w:t>
      </w:r>
      <w:r>
        <w:rPr>
          <w:lang w:eastAsia="cs-CZ"/>
        </w:rPr>
        <w:br/>
      </w:r>
      <w:r w:rsidR="00040015">
        <w:rPr>
          <w:lang w:eastAsia="cs-CZ"/>
        </w:rPr>
        <w:t>a držitelem certifikace.</w:t>
      </w:r>
      <w:r w:rsidR="005271D2">
        <w:rPr>
          <w:lang w:eastAsia="cs-CZ"/>
        </w:rPr>
        <w:t xml:space="preserve"> </w:t>
      </w:r>
      <w:r w:rsidR="00040015">
        <w:rPr>
          <w:lang w:eastAsia="cs-CZ"/>
        </w:rPr>
        <w:t xml:space="preserve">Cílem tohoto požadavku je ověření, že uchazeč nebo jeho mateřská společnost </w:t>
      </w:r>
      <w:r w:rsidR="00040015">
        <w:rPr>
          <w:lang w:eastAsia="cs-CZ"/>
        </w:rPr>
        <w:lastRenderedPageBreak/>
        <w:t>má zavedený a auditovaný systém výroby a kontroly kvality dle standardu Eurovent a je tak schopen dodávat výrobky v ověřené kvalitě.</w:t>
      </w:r>
    </w:p>
    <w:p w14:paraId="556D41B7" w14:textId="77777777" w:rsidR="00E3799D" w:rsidRDefault="00E3799D" w:rsidP="00E3799D">
      <w:pPr>
        <w:numPr>
          <w:ilvl w:val="0"/>
          <w:numId w:val="6"/>
        </w:numPr>
        <w:jc w:val="center"/>
        <w:rPr>
          <w:b/>
          <w:bCs/>
        </w:rPr>
      </w:pPr>
      <w:r w:rsidRPr="009D7781">
        <w:rPr>
          <w:b/>
          <w:bCs/>
        </w:rPr>
        <w:t>Vyhrazená změna závazku</w:t>
      </w:r>
    </w:p>
    <w:p w14:paraId="5B7EDF46" w14:textId="4BEF252A" w:rsidR="00E3799D" w:rsidRDefault="006E0C05" w:rsidP="00680900">
      <w:pPr>
        <w:spacing w:line="240" w:lineRule="auto"/>
        <w:jc w:val="both"/>
        <w:rPr>
          <w:b/>
          <w:bCs/>
        </w:rPr>
      </w:pPr>
      <w:r>
        <w:rPr>
          <w:b/>
          <w:bCs/>
        </w:rPr>
        <w:t>8</w:t>
      </w:r>
      <w:r w:rsidR="00E3799D" w:rsidRPr="00F5164B">
        <w:rPr>
          <w:b/>
          <w:bCs/>
        </w:rPr>
        <w:t>.1.</w:t>
      </w:r>
      <w:r w:rsidR="00E3799D">
        <w:t xml:space="preserve">      </w:t>
      </w:r>
      <w:r w:rsidR="00E3799D" w:rsidRPr="00446594">
        <w:t xml:space="preserve">Zadavatel si </w:t>
      </w:r>
      <w:r w:rsidR="00E3799D">
        <w:t>analogicky k</w:t>
      </w:r>
      <w:r w:rsidR="00E3799D" w:rsidRPr="00446594">
        <w:t xml:space="preserve"> § 100 odst. 1 ZZVZ vyhrazuje:  </w:t>
      </w:r>
    </w:p>
    <w:p w14:paraId="2D485972" w14:textId="77777777" w:rsidR="00E3799D" w:rsidRPr="00C93B19" w:rsidRDefault="00E3799D" w:rsidP="00680900">
      <w:pPr>
        <w:numPr>
          <w:ilvl w:val="0"/>
          <w:numId w:val="31"/>
        </w:numPr>
        <w:spacing w:line="240" w:lineRule="auto"/>
        <w:jc w:val="both"/>
        <w:rPr>
          <w:b/>
          <w:bCs/>
        </w:rPr>
      </w:pPr>
      <w:r w:rsidRPr="00446594">
        <w:t xml:space="preserve">prodloužení dodací lhůty v případě závažných okolností, jakými jsou zejména nouzový stav </w:t>
      </w:r>
      <w:r>
        <w:br/>
      </w:r>
      <w:r w:rsidRPr="00446594">
        <w:t>v důsledku pandemie, havárie, živelná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4B9C3C29" w14:textId="77777777" w:rsidR="00E3799D" w:rsidRPr="00C93B19" w:rsidRDefault="00E3799D" w:rsidP="00680900">
      <w:pPr>
        <w:numPr>
          <w:ilvl w:val="0"/>
          <w:numId w:val="31"/>
        </w:numPr>
        <w:spacing w:line="240" w:lineRule="auto"/>
        <w:jc w:val="both"/>
        <w:rPr>
          <w:b/>
          <w:bCs/>
        </w:rPr>
      </w:pPr>
      <w:r w:rsidRPr="00446594">
        <w:t>navýšení ceny v případě změny sazby DPH v daňových předpisech.  </w:t>
      </w:r>
    </w:p>
    <w:p w14:paraId="43BCD141" w14:textId="0E508903" w:rsidR="00E3799D" w:rsidRDefault="006E0C05" w:rsidP="00680900">
      <w:pPr>
        <w:spacing w:line="240" w:lineRule="auto"/>
        <w:jc w:val="both"/>
      </w:pPr>
      <w:r>
        <w:rPr>
          <w:b/>
          <w:bCs/>
        </w:rPr>
        <w:t>8</w:t>
      </w:r>
      <w:r w:rsidR="00E3799D" w:rsidRPr="00F5164B">
        <w:rPr>
          <w:b/>
          <w:bCs/>
        </w:rPr>
        <w:t>.2.</w:t>
      </w:r>
      <w:r w:rsidR="00E3799D">
        <w:t xml:space="preserve">      </w:t>
      </w:r>
      <w:r w:rsidR="00E3799D" w:rsidRPr="00446594">
        <w:t xml:space="preserve">Zadavatel si </w:t>
      </w:r>
      <w:r w:rsidR="00E3799D">
        <w:t>analogicky k</w:t>
      </w:r>
      <w:r w:rsidR="00E3799D" w:rsidRPr="00446594">
        <w:t xml:space="preserve"> § 100 odst. 2 ZZVZ dále vyhrazuje:  </w:t>
      </w:r>
    </w:p>
    <w:p w14:paraId="7BEAE284" w14:textId="61D1D810" w:rsidR="009D3CB6" w:rsidRPr="009D3CB6" w:rsidRDefault="00E3799D" w:rsidP="00680900">
      <w:pPr>
        <w:numPr>
          <w:ilvl w:val="0"/>
          <w:numId w:val="32"/>
        </w:numPr>
        <w:spacing w:line="240" w:lineRule="auto"/>
        <w:jc w:val="both"/>
      </w:pPr>
      <w:r w:rsidRPr="00446594">
        <w:t xml:space="preserve">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lastRenderedPageBreak/>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70E8CD9E" w:rsidR="00F22B08" w:rsidRDefault="00C77885" w:rsidP="00916C20">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1DC588D" w14:textId="77777777" w:rsidR="009A307B" w:rsidRDefault="009A307B" w:rsidP="009A307B">
      <w:pPr>
        <w:suppressAutoHyphens/>
        <w:spacing w:before="120" w:after="0" w:line="240" w:lineRule="auto"/>
        <w:ind w:left="567"/>
        <w:jc w:val="both"/>
        <w:rPr>
          <w:rFonts w:eastAsia="Times New Roman" w:cs="Calibri"/>
          <w:color w:val="000000"/>
          <w:lang w:eastAsia="ar-SA"/>
        </w:rPr>
      </w:pPr>
    </w:p>
    <w:p w14:paraId="5721403A" w14:textId="77777777" w:rsidR="00A27D57" w:rsidRDefault="00A27D57" w:rsidP="009A307B">
      <w:pPr>
        <w:suppressAutoHyphens/>
        <w:spacing w:before="120" w:after="0" w:line="240" w:lineRule="auto"/>
        <w:ind w:left="567"/>
        <w:jc w:val="both"/>
        <w:rPr>
          <w:rFonts w:eastAsia="Times New Roman" w:cs="Calibri"/>
          <w:color w:val="000000"/>
          <w:lang w:eastAsia="ar-SA"/>
        </w:rPr>
      </w:pPr>
    </w:p>
    <w:p w14:paraId="5B5E2CDB" w14:textId="77777777" w:rsidR="00A27D57" w:rsidRDefault="00A27D57" w:rsidP="009A307B">
      <w:pPr>
        <w:suppressAutoHyphens/>
        <w:spacing w:before="120" w:after="0" w:line="240" w:lineRule="auto"/>
        <w:ind w:left="567"/>
        <w:jc w:val="both"/>
        <w:rPr>
          <w:rFonts w:eastAsia="Times New Roman" w:cs="Calibri"/>
          <w:color w:val="000000"/>
          <w:lang w:eastAsia="ar-SA"/>
        </w:rPr>
      </w:pPr>
    </w:p>
    <w:p w14:paraId="5C4D8586" w14:textId="77777777" w:rsidR="00A27D57" w:rsidRPr="009A307B" w:rsidRDefault="00A27D57" w:rsidP="009A307B">
      <w:pPr>
        <w:suppressAutoHyphens/>
        <w:spacing w:before="120" w:after="0" w:line="240" w:lineRule="auto"/>
        <w:ind w:left="567"/>
        <w:jc w:val="both"/>
        <w:rPr>
          <w:rFonts w:eastAsia="Times New Roman" w:cs="Calibri"/>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3C38CC7B" w14:textId="6E361E9A" w:rsidR="00F22B08" w:rsidRDefault="00916C20" w:rsidP="009A307B">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2C4009CD" w14:textId="77777777" w:rsidR="009A307B" w:rsidRDefault="009A307B" w:rsidP="009A307B">
      <w:pPr>
        <w:suppressAutoHyphens/>
        <w:spacing w:before="120" w:after="0" w:line="240" w:lineRule="auto"/>
        <w:ind w:left="357" w:hanging="357"/>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sidR="006C722A">
        <w:rPr>
          <w:rFonts w:eastAsia="Times New Roman" w:cs="Calibri"/>
          <w:color w:val="000000"/>
          <w:lang w:eastAsia="ar-SA"/>
        </w:rPr>
        <w:t>….</w:t>
      </w:r>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3"/>
          <w:footerReference w:type="default" r:id="rId14"/>
          <w:headerReference w:type="first" r:id="rId15"/>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6"/>
          <w:footerReference w:type="default" r:id="rId17"/>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8"/>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AA9F" w14:textId="77777777" w:rsidR="009B60D4" w:rsidRDefault="009B60D4">
      <w:pPr>
        <w:spacing w:after="0" w:line="240" w:lineRule="auto"/>
      </w:pPr>
      <w:r>
        <w:separator/>
      </w:r>
    </w:p>
  </w:endnote>
  <w:endnote w:type="continuationSeparator" w:id="0">
    <w:p w14:paraId="79A50172" w14:textId="77777777" w:rsidR="009B60D4" w:rsidRDefault="009B60D4">
      <w:pPr>
        <w:spacing w:after="0" w:line="240" w:lineRule="auto"/>
      </w:pPr>
      <w:r>
        <w:continuationSeparator/>
      </w:r>
    </w:p>
  </w:endnote>
  <w:endnote w:type="continuationNotice" w:id="1">
    <w:p w14:paraId="7F97A7D9" w14:textId="77777777" w:rsidR="009B60D4" w:rsidRDefault="009B6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CB8C" w14:textId="77777777" w:rsidR="009B60D4" w:rsidRDefault="009B60D4">
      <w:pPr>
        <w:spacing w:after="0" w:line="240" w:lineRule="auto"/>
      </w:pPr>
      <w:r>
        <w:separator/>
      </w:r>
    </w:p>
  </w:footnote>
  <w:footnote w:type="continuationSeparator" w:id="0">
    <w:p w14:paraId="25D87BDF" w14:textId="77777777" w:rsidR="009B60D4" w:rsidRDefault="009B60D4">
      <w:pPr>
        <w:spacing w:after="0" w:line="240" w:lineRule="auto"/>
      </w:pPr>
      <w:r>
        <w:continuationSeparator/>
      </w:r>
    </w:p>
  </w:footnote>
  <w:footnote w:type="continuationNotice" w:id="1">
    <w:p w14:paraId="24F9051B" w14:textId="77777777" w:rsidR="009B60D4" w:rsidRDefault="009B6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95pt;height:12.9pt;visibility:visible;mso-wrap-style:square" o:bullet="t">
        <v:imagedata r:id="rId1" o:title=""/>
      </v:shape>
    </w:pict>
  </w:numPicBullet>
  <w:numPicBullet w:numPicBulletId="1">
    <w:pict>
      <v:shape id="_x0000_i1039" type="#_x0000_t75" style="width:5.45pt;height:9.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14770"/>
    <w:multiLevelType w:val="hybridMultilevel"/>
    <w:tmpl w:val="91BAF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A0C745A"/>
    <w:multiLevelType w:val="hybridMultilevel"/>
    <w:tmpl w:val="A2C4C51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2758F9"/>
    <w:multiLevelType w:val="hybridMultilevel"/>
    <w:tmpl w:val="14E8571C"/>
    <w:lvl w:ilvl="0" w:tplc="00000003">
      <w:start w:val="1"/>
      <w:numFmt w:val="bullet"/>
      <w:lvlText w:val=""/>
      <w:lvlJc w:val="left"/>
      <w:pPr>
        <w:ind w:left="1068" w:hanging="360"/>
      </w:pPr>
      <w:rPr>
        <w:rFonts w:ascii="Symbol" w:hAnsi="Symbol"/>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CE00EF9"/>
    <w:multiLevelType w:val="hybridMultilevel"/>
    <w:tmpl w:val="41CA3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21"/>
  </w:num>
  <w:num w:numId="4" w16cid:durableId="1417095218">
    <w:abstractNumId w:val="17"/>
  </w:num>
  <w:num w:numId="5" w16cid:durableId="827330980">
    <w:abstractNumId w:val="24"/>
  </w:num>
  <w:num w:numId="6" w16cid:durableId="1638799886">
    <w:abstractNumId w:val="23"/>
  </w:num>
  <w:num w:numId="7" w16cid:durableId="1325668955">
    <w:abstractNumId w:val="9"/>
  </w:num>
  <w:num w:numId="8" w16cid:durableId="1231161341">
    <w:abstractNumId w:val="15"/>
  </w:num>
  <w:num w:numId="9" w16cid:durableId="598223884">
    <w:abstractNumId w:val="1"/>
  </w:num>
  <w:num w:numId="10" w16cid:durableId="1987274654">
    <w:abstractNumId w:val="26"/>
  </w:num>
  <w:num w:numId="11" w16cid:durableId="1475559464">
    <w:abstractNumId w:val="30"/>
  </w:num>
  <w:num w:numId="12" w16cid:durableId="147403646">
    <w:abstractNumId w:val="27"/>
  </w:num>
  <w:num w:numId="13" w16cid:durableId="966088989">
    <w:abstractNumId w:val="31"/>
  </w:num>
  <w:num w:numId="14" w16cid:durableId="2076078594">
    <w:abstractNumId w:val="5"/>
  </w:num>
  <w:num w:numId="15" w16cid:durableId="425662966">
    <w:abstractNumId w:val="25"/>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2"/>
  </w:num>
  <w:num w:numId="20" w16cid:durableId="1730809258">
    <w:abstractNumId w:val="18"/>
  </w:num>
  <w:num w:numId="21" w16cid:durableId="990252727">
    <w:abstractNumId w:val="16"/>
  </w:num>
  <w:num w:numId="22" w16cid:durableId="1816874996">
    <w:abstractNumId w:val="7"/>
  </w:num>
  <w:num w:numId="23" w16cid:durableId="1243446033">
    <w:abstractNumId w:val="4"/>
  </w:num>
  <w:num w:numId="24" w16cid:durableId="2039819438">
    <w:abstractNumId w:val="10"/>
  </w:num>
  <w:num w:numId="25" w16cid:durableId="1969701144">
    <w:abstractNumId w:val="28"/>
  </w:num>
  <w:num w:numId="26" w16cid:durableId="2059429651">
    <w:abstractNumId w:val="6"/>
  </w:num>
  <w:num w:numId="27" w16cid:durableId="235819028">
    <w:abstractNumId w:val="29"/>
  </w:num>
  <w:num w:numId="28" w16cid:durableId="676613475">
    <w:abstractNumId w:val="14"/>
  </w:num>
  <w:num w:numId="29" w16cid:durableId="1736928678">
    <w:abstractNumId w:val="13"/>
  </w:num>
  <w:num w:numId="30" w16cid:durableId="235407612">
    <w:abstractNumId w:val="19"/>
  </w:num>
  <w:num w:numId="31" w16cid:durableId="462885713">
    <w:abstractNumId w:val="12"/>
  </w:num>
  <w:num w:numId="32" w16cid:durableId="16054547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0015"/>
    <w:rsid w:val="00041D82"/>
    <w:rsid w:val="00047FBA"/>
    <w:rsid w:val="0005096E"/>
    <w:rsid w:val="00051E84"/>
    <w:rsid w:val="00052761"/>
    <w:rsid w:val="0005643A"/>
    <w:rsid w:val="00066F7A"/>
    <w:rsid w:val="000672A0"/>
    <w:rsid w:val="00070C77"/>
    <w:rsid w:val="00072145"/>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0BFF"/>
    <w:rsid w:val="000F5384"/>
    <w:rsid w:val="00107E17"/>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39E"/>
    <w:rsid w:val="00182B72"/>
    <w:rsid w:val="00182D39"/>
    <w:rsid w:val="001851AB"/>
    <w:rsid w:val="00185853"/>
    <w:rsid w:val="00191D69"/>
    <w:rsid w:val="00192BC6"/>
    <w:rsid w:val="001940F4"/>
    <w:rsid w:val="001972B4"/>
    <w:rsid w:val="001A1EEE"/>
    <w:rsid w:val="001A5B7C"/>
    <w:rsid w:val="001A6A61"/>
    <w:rsid w:val="001C1463"/>
    <w:rsid w:val="001C5DB2"/>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039"/>
    <w:rsid w:val="00213367"/>
    <w:rsid w:val="00213F5A"/>
    <w:rsid w:val="00214A38"/>
    <w:rsid w:val="002209E3"/>
    <w:rsid w:val="00230AE3"/>
    <w:rsid w:val="002535C3"/>
    <w:rsid w:val="00253640"/>
    <w:rsid w:val="00255F12"/>
    <w:rsid w:val="00261593"/>
    <w:rsid w:val="002618EF"/>
    <w:rsid w:val="0026215C"/>
    <w:rsid w:val="00265A2C"/>
    <w:rsid w:val="00266BF6"/>
    <w:rsid w:val="0026773A"/>
    <w:rsid w:val="0027069C"/>
    <w:rsid w:val="002762F8"/>
    <w:rsid w:val="002810D0"/>
    <w:rsid w:val="00283764"/>
    <w:rsid w:val="00283A7F"/>
    <w:rsid w:val="00284911"/>
    <w:rsid w:val="00286138"/>
    <w:rsid w:val="002911B0"/>
    <w:rsid w:val="002916F5"/>
    <w:rsid w:val="00291E23"/>
    <w:rsid w:val="002921F2"/>
    <w:rsid w:val="00292E96"/>
    <w:rsid w:val="002931AC"/>
    <w:rsid w:val="0029603C"/>
    <w:rsid w:val="002A170E"/>
    <w:rsid w:val="002A32EA"/>
    <w:rsid w:val="002A70AE"/>
    <w:rsid w:val="002A73E7"/>
    <w:rsid w:val="002B132B"/>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6874"/>
    <w:rsid w:val="00367CE9"/>
    <w:rsid w:val="003708BE"/>
    <w:rsid w:val="00374188"/>
    <w:rsid w:val="00374A8B"/>
    <w:rsid w:val="00374D6E"/>
    <w:rsid w:val="00376AA2"/>
    <w:rsid w:val="00376BF4"/>
    <w:rsid w:val="003835F1"/>
    <w:rsid w:val="00392E4B"/>
    <w:rsid w:val="00393DE6"/>
    <w:rsid w:val="003A16A2"/>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2D3"/>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2019"/>
    <w:rsid w:val="004A381B"/>
    <w:rsid w:val="004A38E8"/>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612"/>
    <w:rsid w:val="00516E56"/>
    <w:rsid w:val="00517235"/>
    <w:rsid w:val="0052044E"/>
    <w:rsid w:val="00525CA3"/>
    <w:rsid w:val="00526A06"/>
    <w:rsid w:val="0052712E"/>
    <w:rsid w:val="005271D2"/>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77D1B"/>
    <w:rsid w:val="0058138D"/>
    <w:rsid w:val="005818D6"/>
    <w:rsid w:val="005922EF"/>
    <w:rsid w:val="00594845"/>
    <w:rsid w:val="0059499C"/>
    <w:rsid w:val="00595B58"/>
    <w:rsid w:val="00596314"/>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164C"/>
    <w:rsid w:val="005E284E"/>
    <w:rsid w:val="005E31C1"/>
    <w:rsid w:val="0060025D"/>
    <w:rsid w:val="00602570"/>
    <w:rsid w:val="00602740"/>
    <w:rsid w:val="006056A9"/>
    <w:rsid w:val="00614FFC"/>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7B5"/>
    <w:rsid w:val="00667C66"/>
    <w:rsid w:val="00673C33"/>
    <w:rsid w:val="00674052"/>
    <w:rsid w:val="0068063D"/>
    <w:rsid w:val="00680900"/>
    <w:rsid w:val="00682014"/>
    <w:rsid w:val="00682C3D"/>
    <w:rsid w:val="00682D80"/>
    <w:rsid w:val="00693018"/>
    <w:rsid w:val="006945DB"/>
    <w:rsid w:val="00694A34"/>
    <w:rsid w:val="00697483"/>
    <w:rsid w:val="006A0C74"/>
    <w:rsid w:val="006A17F9"/>
    <w:rsid w:val="006A2048"/>
    <w:rsid w:val="006A286C"/>
    <w:rsid w:val="006B018D"/>
    <w:rsid w:val="006B4CE7"/>
    <w:rsid w:val="006B52A2"/>
    <w:rsid w:val="006B6228"/>
    <w:rsid w:val="006C1F82"/>
    <w:rsid w:val="006C668D"/>
    <w:rsid w:val="006C69FA"/>
    <w:rsid w:val="006C722A"/>
    <w:rsid w:val="006D056F"/>
    <w:rsid w:val="006D27FC"/>
    <w:rsid w:val="006E0C05"/>
    <w:rsid w:val="006E253B"/>
    <w:rsid w:val="006F017E"/>
    <w:rsid w:val="006F04FC"/>
    <w:rsid w:val="006F32F2"/>
    <w:rsid w:val="006F636C"/>
    <w:rsid w:val="006F789C"/>
    <w:rsid w:val="0070519D"/>
    <w:rsid w:val="0071068E"/>
    <w:rsid w:val="00721BF5"/>
    <w:rsid w:val="007228D1"/>
    <w:rsid w:val="00723533"/>
    <w:rsid w:val="0073384D"/>
    <w:rsid w:val="00736941"/>
    <w:rsid w:val="00737986"/>
    <w:rsid w:val="00742DD2"/>
    <w:rsid w:val="00743375"/>
    <w:rsid w:val="0074423E"/>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473C"/>
    <w:rsid w:val="007B5259"/>
    <w:rsid w:val="007B6091"/>
    <w:rsid w:val="007B65BD"/>
    <w:rsid w:val="007C093B"/>
    <w:rsid w:val="007C3359"/>
    <w:rsid w:val="007C3468"/>
    <w:rsid w:val="007C5D9A"/>
    <w:rsid w:val="007C62EB"/>
    <w:rsid w:val="007C6E71"/>
    <w:rsid w:val="007D0062"/>
    <w:rsid w:val="007D067C"/>
    <w:rsid w:val="007D2BAE"/>
    <w:rsid w:val="007D3FE7"/>
    <w:rsid w:val="007D4AFE"/>
    <w:rsid w:val="007E0B76"/>
    <w:rsid w:val="007F47E6"/>
    <w:rsid w:val="00800587"/>
    <w:rsid w:val="00802B76"/>
    <w:rsid w:val="00806568"/>
    <w:rsid w:val="00807B36"/>
    <w:rsid w:val="00811A5A"/>
    <w:rsid w:val="0081314A"/>
    <w:rsid w:val="00815572"/>
    <w:rsid w:val="008160CF"/>
    <w:rsid w:val="008204C4"/>
    <w:rsid w:val="00821400"/>
    <w:rsid w:val="0082503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1740"/>
    <w:rsid w:val="00957532"/>
    <w:rsid w:val="00962D70"/>
    <w:rsid w:val="009640E8"/>
    <w:rsid w:val="009705D5"/>
    <w:rsid w:val="0097432D"/>
    <w:rsid w:val="00976B5D"/>
    <w:rsid w:val="00983947"/>
    <w:rsid w:val="009859F5"/>
    <w:rsid w:val="009912F3"/>
    <w:rsid w:val="00991485"/>
    <w:rsid w:val="00997898"/>
    <w:rsid w:val="009A272D"/>
    <w:rsid w:val="009A307B"/>
    <w:rsid w:val="009A419A"/>
    <w:rsid w:val="009A432D"/>
    <w:rsid w:val="009A5408"/>
    <w:rsid w:val="009A5654"/>
    <w:rsid w:val="009A6DA3"/>
    <w:rsid w:val="009B1C3B"/>
    <w:rsid w:val="009B5819"/>
    <w:rsid w:val="009B60D4"/>
    <w:rsid w:val="009C2A06"/>
    <w:rsid w:val="009C5ECB"/>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27D57"/>
    <w:rsid w:val="00A3360F"/>
    <w:rsid w:val="00A3556A"/>
    <w:rsid w:val="00A37039"/>
    <w:rsid w:val="00A41A7C"/>
    <w:rsid w:val="00A42860"/>
    <w:rsid w:val="00A42EC1"/>
    <w:rsid w:val="00A44909"/>
    <w:rsid w:val="00A45927"/>
    <w:rsid w:val="00A478E6"/>
    <w:rsid w:val="00A521A6"/>
    <w:rsid w:val="00A5269E"/>
    <w:rsid w:val="00A533ED"/>
    <w:rsid w:val="00A57EA1"/>
    <w:rsid w:val="00A64B1B"/>
    <w:rsid w:val="00A70EA3"/>
    <w:rsid w:val="00A737FA"/>
    <w:rsid w:val="00A73C6E"/>
    <w:rsid w:val="00A74EA4"/>
    <w:rsid w:val="00A74F6A"/>
    <w:rsid w:val="00A7739B"/>
    <w:rsid w:val="00A831BC"/>
    <w:rsid w:val="00A9079F"/>
    <w:rsid w:val="00A90F28"/>
    <w:rsid w:val="00A96B02"/>
    <w:rsid w:val="00A97355"/>
    <w:rsid w:val="00AA216A"/>
    <w:rsid w:val="00AA2A20"/>
    <w:rsid w:val="00AA2B34"/>
    <w:rsid w:val="00AA2D3D"/>
    <w:rsid w:val="00AA3A5B"/>
    <w:rsid w:val="00AB0385"/>
    <w:rsid w:val="00AB7BD2"/>
    <w:rsid w:val="00AC364B"/>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35B2"/>
    <w:rsid w:val="00B45E6F"/>
    <w:rsid w:val="00B51276"/>
    <w:rsid w:val="00B536B7"/>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D706E"/>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55D6"/>
    <w:rsid w:val="00C96E59"/>
    <w:rsid w:val="00CA11CE"/>
    <w:rsid w:val="00CA153A"/>
    <w:rsid w:val="00CA3121"/>
    <w:rsid w:val="00CA3EAC"/>
    <w:rsid w:val="00CA4206"/>
    <w:rsid w:val="00CA7D90"/>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6AC8"/>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0DE0"/>
    <w:rsid w:val="00E075CC"/>
    <w:rsid w:val="00E118B9"/>
    <w:rsid w:val="00E12F33"/>
    <w:rsid w:val="00E171DC"/>
    <w:rsid w:val="00E20728"/>
    <w:rsid w:val="00E20C66"/>
    <w:rsid w:val="00E22284"/>
    <w:rsid w:val="00E34CC7"/>
    <w:rsid w:val="00E3799D"/>
    <w:rsid w:val="00E41FAB"/>
    <w:rsid w:val="00E44B3C"/>
    <w:rsid w:val="00E44DFA"/>
    <w:rsid w:val="00E467C4"/>
    <w:rsid w:val="00E47FDC"/>
    <w:rsid w:val="00E50BEF"/>
    <w:rsid w:val="00E51400"/>
    <w:rsid w:val="00E57024"/>
    <w:rsid w:val="00E6155F"/>
    <w:rsid w:val="00E8031F"/>
    <w:rsid w:val="00E83FE0"/>
    <w:rsid w:val="00E86A7E"/>
    <w:rsid w:val="00E93A65"/>
    <w:rsid w:val="00E95B74"/>
    <w:rsid w:val="00EA0ED9"/>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56530"/>
    <w:rsid w:val="00F61EA8"/>
    <w:rsid w:val="00F6220C"/>
    <w:rsid w:val="00F643D9"/>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lj@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50d517f42f3876c8fbc980be4e443b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057a01eed9ff9028fa3cd2fc9f7dc27c"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AA485F0F-1140-4D57-AF53-239F42AA6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4.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2456</Words>
  <Characters>14497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16920</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61</cp:revision>
  <dcterms:created xsi:type="dcterms:W3CDTF">2023-03-13T10:44:00Z</dcterms:created>
  <dcterms:modified xsi:type="dcterms:W3CDTF">2025-11-11T08:02:00Z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