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2F525" w14:textId="77777777" w:rsidR="005F2979" w:rsidRDefault="005F2979" w:rsidP="001A7865">
      <w:pPr>
        <w:jc w:val="center"/>
        <w:rPr>
          <w:b/>
          <w:sz w:val="32"/>
          <w:szCs w:val="32"/>
          <w:u w:val="single"/>
        </w:rPr>
      </w:pPr>
    </w:p>
    <w:p w14:paraId="3D8304FF" w14:textId="77777777" w:rsidR="00033916" w:rsidRDefault="00033916" w:rsidP="001A7865">
      <w:pPr>
        <w:jc w:val="center"/>
        <w:rPr>
          <w:b/>
          <w:sz w:val="32"/>
          <w:szCs w:val="32"/>
          <w:u w:val="single"/>
        </w:rPr>
      </w:pPr>
    </w:p>
    <w:p w14:paraId="1DC29DC9" w14:textId="6EBFA752" w:rsidR="008A015B" w:rsidRDefault="008A015B" w:rsidP="001A7865">
      <w:pPr>
        <w:jc w:val="center"/>
        <w:rPr>
          <w:b/>
          <w:sz w:val="32"/>
          <w:szCs w:val="32"/>
          <w:u w:val="single"/>
        </w:rPr>
      </w:pPr>
      <w:r w:rsidRPr="008D4927">
        <w:rPr>
          <w:b/>
          <w:sz w:val="32"/>
          <w:szCs w:val="32"/>
          <w:u w:val="single"/>
        </w:rPr>
        <w:t>TECHNICKÁ SPECIFIKACE</w:t>
      </w:r>
    </w:p>
    <w:p w14:paraId="4F0E615F" w14:textId="22DE616C" w:rsidR="00FB0AFA" w:rsidRDefault="00FD7C04" w:rsidP="00FD7C04">
      <w:pPr>
        <w:spacing w:after="0" w:line="240" w:lineRule="auto"/>
        <w:contextualSpacing/>
        <w:jc w:val="center"/>
        <w:rPr>
          <w:b/>
        </w:rPr>
      </w:pPr>
      <w:r w:rsidRPr="00FD7C04">
        <w:rPr>
          <w:b/>
          <w:sz w:val="32"/>
          <w:szCs w:val="32"/>
        </w:rPr>
        <w:t>Dodávky setů krátkodob</w:t>
      </w:r>
      <w:r w:rsidRPr="00FD7C04">
        <w:rPr>
          <w:b/>
          <w:bCs/>
          <w:sz w:val="32"/>
          <w:szCs w:val="32"/>
        </w:rPr>
        <w:t>é</w:t>
      </w:r>
      <w:r w:rsidRPr="00FD7C04">
        <w:rPr>
          <w:b/>
          <w:sz w:val="32"/>
          <w:szCs w:val="32"/>
        </w:rPr>
        <w:t xml:space="preserve"> srdeční mechanick</w:t>
      </w:r>
      <w:r w:rsidRPr="00FD7C04">
        <w:rPr>
          <w:b/>
          <w:bCs/>
          <w:sz w:val="32"/>
          <w:szCs w:val="32"/>
        </w:rPr>
        <w:t xml:space="preserve">é </w:t>
      </w:r>
      <w:r w:rsidRPr="00FD7C04">
        <w:rPr>
          <w:b/>
          <w:sz w:val="32"/>
          <w:szCs w:val="32"/>
        </w:rPr>
        <w:t>podpor</w:t>
      </w:r>
      <w:r w:rsidRPr="00FD7C04">
        <w:rPr>
          <w:b/>
          <w:bCs/>
          <w:sz w:val="32"/>
          <w:szCs w:val="32"/>
        </w:rPr>
        <w:t>y</w:t>
      </w:r>
      <w:r w:rsidRPr="00FD7C04">
        <w:rPr>
          <w:b/>
          <w:sz w:val="32"/>
          <w:szCs w:val="32"/>
        </w:rPr>
        <w:t xml:space="preserve"> </w:t>
      </w:r>
      <w:r w:rsidRPr="00FD7C04">
        <w:rPr>
          <w:b/>
          <w:sz w:val="32"/>
          <w:szCs w:val="32"/>
        </w:rPr>
        <w:br/>
        <w:t>vč. bezplatné výpůjčky 1 ks ovládací jednotky</w:t>
      </w:r>
    </w:p>
    <w:p w14:paraId="71EDF748" w14:textId="77777777" w:rsidR="009114C0" w:rsidRDefault="009114C0" w:rsidP="009114C0">
      <w:pPr>
        <w:spacing w:after="0" w:line="240" w:lineRule="auto"/>
        <w:contextualSpacing/>
        <w:jc w:val="both"/>
        <w:rPr>
          <w:rFonts w:cstheme="minorHAnsi"/>
          <w:bCs/>
        </w:rPr>
      </w:pPr>
    </w:p>
    <w:p w14:paraId="374A765D" w14:textId="517F9427" w:rsidR="003A5AA8" w:rsidRPr="009114C0" w:rsidRDefault="009114C0" w:rsidP="007565DE">
      <w:pPr>
        <w:spacing w:after="0" w:line="240" w:lineRule="auto"/>
        <w:contextualSpacing/>
        <w:jc w:val="both"/>
        <w:rPr>
          <w:rFonts w:cstheme="minorHAnsi"/>
          <w:bCs/>
        </w:rPr>
      </w:pPr>
      <w:r w:rsidRPr="009114C0">
        <w:rPr>
          <w:rFonts w:cstheme="minorHAnsi"/>
          <w:bCs/>
        </w:rPr>
        <w:t>Předmětem</w:t>
      </w:r>
      <w:r w:rsidR="00892C9E">
        <w:rPr>
          <w:rFonts w:cstheme="minorHAnsi"/>
          <w:bCs/>
        </w:rPr>
        <w:t xml:space="preserve"> zakázky jsou</w:t>
      </w:r>
      <w:r w:rsidRPr="009114C0">
        <w:rPr>
          <w:rFonts w:cstheme="minorHAnsi"/>
          <w:bCs/>
        </w:rPr>
        <w:t xml:space="preserve"> </w:t>
      </w:r>
      <w:r w:rsidR="003F728B" w:rsidRPr="009114C0">
        <w:rPr>
          <w:rFonts w:cstheme="minorHAnsi"/>
          <w:bCs/>
        </w:rPr>
        <w:t>průběžné dodávky (nákupy) mechanick</w:t>
      </w:r>
      <w:r w:rsidR="00FD7C04">
        <w:rPr>
          <w:rFonts w:cstheme="minorHAnsi"/>
          <w:bCs/>
        </w:rPr>
        <w:t>é</w:t>
      </w:r>
      <w:r w:rsidR="003F728B" w:rsidRPr="009114C0">
        <w:rPr>
          <w:rFonts w:cstheme="minorHAnsi"/>
          <w:bCs/>
        </w:rPr>
        <w:t xml:space="preserve"> krátkodob</w:t>
      </w:r>
      <w:r w:rsidR="00FD7C04">
        <w:rPr>
          <w:rFonts w:cstheme="minorHAnsi"/>
          <w:bCs/>
        </w:rPr>
        <w:t>é</w:t>
      </w:r>
      <w:r w:rsidR="003F728B" w:rsidRPr="009114C0">
        <w:rPr>
          <w:rFonts w:cstheme="minorHAnsi"/>
          <w:bCs/>
        </w:rPr>
        <w:t xml:space="preserve"> srdeční podpor</w:t>
      </w:r>
      <w:r w:rsidR="00FD7C04">
        <w:rPr>
          <w:rFonts w:cstheme="minorHAnsi"/>
          <w:bCs/>
        </w:rPr>
        <w:t>y</w:t>
      </w:r>
      <w:r w:rsidR="000C6DF9">
        <w:rPr>
          <w:rFonts w:cstheme="minorHAnsi"/>
          <w:bCs/>
        </w:rPr>
        <w:t xml:space="preserve"> </w:t>
      </w:r>
      <w:r w:rsidR="00FD7C04">
        <w:rPr>
          <w:rFonts w:cstheme="minorHAnsi"/>
          <w:bCs/>
        </w:rPr>
        <w:br/>
      </w:r>
      <w:r w:rsidR="003F728B" w:rsidRPr="009114C0">
        <w:rPr>
          <w:rFonts w:cstheme="minorHAnsi"/>
          <w:bCs/>
        </w:rPr>
        <w:t>u</w:t>
      </w:r>
      <w:r w:rsidR="00FD7C04">
        <w:rPr>
          <w:rFonts w:cstheme="minorHAnsi"/>
          <w:bCs/>
        </w:rPr>
        <w:t xml:space="preserve"> </w:t>
      </w:r>
      <w:r w:rsidR="003F728B" w:rsidRPr="009114C0">
        <w:rPr>
          <w:rFonts w:cstheme="minorHAnsi"/>
          <w:bCs/>
        </w:rPr>
        <w:t xml:space="preserve">pacientů se srdečním selháním v průběhu 4 let (tj. 48 měsíců) </w:t>
      </w:r>
      <w:r w:rsidR="00892C9E">
        <w:rPr>
          <w:rFonts w:cstheme="minorHAnsi"/>
          <w:bCs/>
        </w:rPr>
        <w:t xml:space="preserve">a </w:t>
      </w:r>
      <w:r w:rsidRPr="009114C0">
        <w:rPr>
          <w:rFonts w:cstheme="minorHAnsi"/>
          <w:bCs/>
        </w:rPr>
        <w:t xml:space="preserve">výpůjčka </w:t>
      </w:r>
      <w:r w:rsidR="0040154A">
        <w:rPr>
          <w:rFonts w:cstheme="minorHAnsi"/>
          <w:bCs/>
        </w:rPr>
        <w:br/>
      </w:r>
      <w:r>
        <w:rPr>
          <w:rFonts w:cstheme="minorHAnsi"/>
          <w:bCs/>
        </w:rPr>
        <w:t>1</w:t>
      </w:r>
      <w:r w:rsidRPr="009114C0">
        <w:rPr>
          <w:rFonts w:cstheme="minorHAnsi"/>
          <w:bCs/>
        </w:rPr>
        <w:t xml:space="preserve"> ks </w:t>
      </w:r>
      <w:r w:rsidR="00D60D31">
        <w:rPr>
          <w:rFonts w:cstheme="minorHAnsi"/>
          <w:bCs/>
        </w:rPr>
        <w:t xml:space="preserve">ovládací </w:t>
      </w:r>
      <w:r w:rsidR="009C1350">
        <w:rPr>
          <w:rFonts w:cstheme="minorHAnsi"/>
          <w:bCs/>
        </w:rPr>
        <w:t>jednotky,</w:t>
      </w:r>
      <w:r w:rsidRPr="009114C0">
        <w:rPr>
          <w:rFonts w:cstheme="minorHAnsi"/>
          <w:bCs/>
        </w:rPr>
        <w:t xml:space="preserve"> a </w:t>
      </w:r>
      <w:r w:rsidR="00583124">
        <w:rPr>
          <w:rFonts w:cstheme="minorHAnsi"/>
          <w:bCs/>
        </w:rPr>
        <w:t xml:space="preserve">to </w:t>
      </w:r>
      <w:r w:rsidRPr="009114C0">
        <w:rPr>
          <w:rFonts w:cstheme="minorHAnsi"/>
          <w:bCs/>
        </w:rPr>
        <w:t xml:space="preserve">od začátku platností smluv, které vzejdou na základě vyhodnocení </w:t>
      </w:r>
      <w:r w:rsidR="00125C1A">
        <w:rPr>
          <w:rFonts w:cstheme="minorHAnsi"/>
          <w:bCs/>
        </w:rPr>
        <w:br/>
      </w:r>
      <w:r w:rsidRPr="009114C0">
        <w:rPr>
          <w:rFonts w:cstheme="minorHAnsi"/>
          <w:bCs/>
        </w:rPr>
        <w:t>z tohoto výběrového řízení.</w:t>
      </w:r>
    </w:p>
    <w:p w14:paraId="5B6FA99B" w14:textId="77777777" w:rsidR="003A5AA8" w:rsidRDefault="003A5AA8" w:rsidP="00F07C33">
      <w:pPr>
        <w:spacing w:after="0" w:line="240" w:lineRule="auto"/>
        <w:contextualSpacing/>
        <w:rPr>
          <w:b/>
        </w:rPr>
      </w:pPr>
    </w:p>
    <w:p w14:paraId="23C47669" w14:textId="77777777" w:rsidR="003A5AA8" w:rsidRDefault="003A5AA8" w:rsidP="00F07C33">
      <w:pPr>
        <w:spacing w:after="0" w:line="240" w:lineRule="auto"/>
        <w:contextualSpacing/>
        <w:rPr>
          <w:b/>
        </w:rPr>
      </w:pPr>
    </w:p>
    <w:p w14:paraId="4056521A" w14:textId="77777777" w:rsidR="009114C0" w:rsidRDefault="009114C0" w:rsidP="00F07C33">
      <w:pPr>
        <w:spacing w:after="0" w:line="240" w:lineRule="auto"/>
        <w:contextualSpacing/>
        <w:rPr>
          <w:b/>
        </w:rPr>
      </w:pPr>
    </w:p>
    <w:p w14:paraId="3A6BBC0C" w14:textId="632CF6A0" w:rsidR="002E21E0" w:rsidRPr="00F07C33" w:rsidRDefault="008B4D51" w:rsidP="00F07C33">
      <w:pPr>
        <w:spacing w:after="0" w:line="240" w:lineRule="auto"/>
        <w:contextualSpacing/>
        <w:rPr>
          <w:b/>
        </w:rPr>
      </w:pPr>
      <w:r>
        <w:rPr>
          <w:b/>
        </w:rPr>
        <w:tab/>
      </w:r>
      <w:r>
        <w:rPr>
          <w:b/>
        </w:rPr>
        <w:tab/>
      </w:r>
      <w:r>
        <w:rPr>
          <w:b/>
        </w:rPr>
        <w:tab/>
      </w:r>
      <w:r w:rsidR="009826DB">
        <w:rPr>
          <w:b/>
        </w:rPr>
        <w:tab/>
      </w:r>
    </w:p>
    <w:p w14:paraId="38C55F90" w14:textId="14BDFF51" w:rsidR="008A015B" w:rsidRDefault="008D4927" w:rsidP="008D4927">
      <w:pPr>
        <w:jc w:val="both"/>
      </w:pPr>
      <w:r>
        <w:t>Účastník</w:t>
      </w:r>
      <w:r w:rsidR="001421E1">
        <w:t xml:space="preserve"> zadávacího řízení</w:t>
      </w:r>
      <w:r w:rsidRPr="008D4927">
        <w:t xml:space="preserve"> je povinen </w:t>
      </w:r>
      <w:r w:rsidR="005858E6">
        <w:t xml:space="preserve">dle pokynů zadávací dokumentace kompletně vyplnit </w:t>
      </w:r>
      <w:r w:rsidRPr="008D4927">
        <w:t xml:space="preserve">níže uvedenou tabulku </w:t>
      </w:r>
      <w:r w:rsidR="00B07694">
        <w:t>(</w:t>
      </w:r>
      <w:r w:rsidRPr="008D4927">
        <w:t>tj. u</w:t>
      </w:r>
      <w:r w:rsidR="00FA4638">
        <w:t>vést, zda jím nabízené zařízení</w:t>
      </w:r>
      <w:r w:rsidRPr="008D4927">
        <w:t xml:space="preserve"> splňuje </w:t>
      </w:r>
      <w:r w:rsidR="00FA4638">
        <w:t xml:space="preserve">či nesplňuje v plném rozsahu </w:t>
      </w:r>
      <w:r w:rsidRPr="008D4927">
        <w:t>uvedený požadavek</w:t>
      </w:r>
      <w:r w:rsidR="00A44961">
        <w:t xml:space="preserve"> (A/N)</w:t>
      </w:r>
      <w:r w:rsidR="00443DBB">
        <w:t>;</w:t>
      </w:r>
      <w:r w:rsidRPr="008D4927">
        <w:t xml:space="preserve"> u parametrů, které lze charakterizovat nabízenou hodnotou, je povinen tuto hodnotu uvést) a učinit součástí nabídky.</w:t>
      </w:r>
      <w:r w:rsidR="00F07C33">
        <w:t xml:space="preserve"> Zadavatel je oprávněn si veškeré informace ověřit a vyžádat si předložení dokladů, které splnění parametrů jednoznačně dokládají.</w:t>
      </w:r>
    </w:p>
    <w:p w14:paraId="450F462A" w14:textId="77777777" w:rsidR="003A5AA8" w:rsidRDefault="003A5AA8" w:rsidP="008D4927">
      <w:pPr>
        <w:jc w:val="both"/>
      </w:pPr>
    </w:p>
    <w:tbl>
      <w:tblPr>
        <w:tblW w:w="9199" w:type="dxa"/>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0A0" w:firstRow="1" w:lastRow="0" w:firstColumn="1" w:lastColumn="0" w:noHBand="0" w:noVBand="0"/>
      </w:tblPr>
      <w:tblGrid>
        <w:gridCol w:w="2679"/>
        <w:gridCol w:w="1134"/>
        <w:gridCol w:w="1701"/>
        <w:gridCol w:w="1701"/>
        <w:gridCol w:w="1984"/>
      </w:tblGrid>
      <w:tr w:rsidR="0038119C" w:rsidRPr="00FC6F0E" w14:paraId="348A9243" w14:textId="77777777">
        <w:trPr>
          <w:cantSplit/>
          <w:trHeight w:val="550"/>
          <w:tblHeader/>
          <w:jc w:val="center"/>
        </w:trPr>
        <w:tc>
          <w:tcPr>
            <w:tcW w:w="2679" w:type="dxa"/>
            <w:shd w:val="clear" w:color="auto" w:fill="D9D9D9"/>
            <w:vAlign w:val="center"/>
          </w:tcPr>
          <w:p w14:paraId="52FA0402" w14:textId="77777777" w:rsidR="0038119C" w:rsidRPr="00FC6F0E" w:rsidRDefault="0038119C">
            <w:pPr>
              <w:spacing w:after="0" w:line="240" w:lineRule="auto"/>
              <w:jc w:val="center"/>
              <w:rPr>
                <w:rFonts w:cs="Calibri"/>
                <w:b/>
                <w:sz w:val="20"/>
                <w:szCs w:val="20"/>
              </w:rPr>
            </w:pPr>
            <w:r w:rsidRPr="00FC6F0E">
              <w:rPr>
                <w:rFonts w:cs="Calibri"/>
                <w:b/>
                <w:sz w:val="20"/>
                <w:szCs w:val="20"/>
              </w:rPr>
              <w:t>Požadované přístroje</w:t>
            </w:r>
          </w:p>
        </w:tc>
        <w:tc>
          <w:tcPr>
            <w:tcW w:w="1134" w:type="dxa"/>
            <w:shd w:val="clear" w:color="auto" w:fill="D9D9D9"/>
          </w:tcPr>
          <w:p w14:paraId="5C78B2C4" w14:textId="77777777" w:rsidR="0038119C" w:rsidRPr="00FC6F0E" w:rsidRDefault="0038119C">
            <w:pPr>
              <w:spacing w:after="0" w:line="240" w:lineRule="auto"/>
              <w:jc w:val="center"/>
              <w:rPr>
                <w:rFonts w:cs="Calibri"/>
                <w:b/>
                <w:sz w:val="20"/>
                <w:szCs w:val="20"/>
              </w:rPr>
            </w:pPr>
            <w:r>
              <w:rPr>
                <w:rFonts w:cs="Calibri"/>
                <w:b/>
                <w:sz w:val="20"/>
                <w:szCs w:val="20"/>
              </w:rPr>
              <w:t>Počet ks v dodávce</w:t>
            </w:r>
          </w:p>
        </w:tc>
        <w:tc>
          <w:tcPr>
            <w:tcW w:w="1701" w:type="dxa"/>
            <w:shd w:val="clear" w:color="auto" w:fill="D9D9D9"/>
            <w:vAlign w:val="center"/>
          </w:tcPr>
          <w:p w14:paraId="1D6EF494" w14:textId="77777777" w:rsidR="0038119C" w:rsidRPr="00FC6F0E" w:rsidRDefault="0038119C">
            <w:pPr>
              <w:spacing w:after="0" w:line="240" w:lineRule="auto"/>
              <w:jc w:val="center"/>
              <w:rPr>
                <w:rFonts w:cs="Calibri"/>
                <w:b/>
                <w:sz w:val="20"/>
                <w:szCs w:val="20"/>
              </w:rPr>
            </w:pPr>
            <w:r w:rsidRPr="00FC6F0E">
              <w:rPr>
                <w:rFonts w:cs="Calibri"/>
                <w:b/>
                <w:sz w:val="20"/>
                <w:szCs w:val="20"/>
              </w:rPr>
              <w:t>Typové označení přístroje</w:t>
            </w:r>
          </w:p>
        </w:tc>
        <w:tc>
          <w:tcPr>
            <w:tcW w:w="1701" w:type="dxa"/>
            <w:shd w:val="clear" w:color="auto" w:fill="D9D9D9"/>
            <w:vAlign w:val="center"/>
          </w:tcPr>
          <w:p w14:paraId="44A99068" w14:textId="77777777" w:rsidR="0038119C" w:rsidRPr="00FC6F0E" w:rsidRDefault="0038119C">
            <w:pPr>
              <w:spacing w:after="0" w:line="240" w:lineRule="auto"/>
              <w:jc w:val="center"/>
              <w:rPr>
                <w:rFonts w:cs="Calibri"/>
                <w:b/>
                <w:sz w:val="20"/>
                <w:szCs w:val="20"/>
              </w:rPr>
            </w:pPr>
            <w:r w:rsidRPr="00FC6F0E">
              <w:rPr>
                <w:rFonts w:cs="Calibri"/>
                <w:b/>
                <w:sz w:val="20"/>
                <w:szCs w:val="20"/>
              </w:rPr>
              <w:t>Výrobce přístroje</w:t>
            </w:r>
          </w:p>
        </w:tc>
        <w:tc>
          <w:tcPr>
            <w:tcW w:w="1984" w:type="dxa"/>
            <w:shd w:val="clear" w:color="auto" w:fill="D9D9D9"/>
            <w:vAlign w:val="center"/>
          </w:tcPr>
          <w:p w14:paraId="3815B9ED" w14:textId="77777777" w:rsidR="0038119C" w:rsidRPr="00FC6F0E" w:rsidRDefault="0038119C">
            <w:pPr>
              <w:spacing w:after="0" w:line="240" w:lineRule="auto"/>
              <w:jc w:val="center"/>
              <w:rPr>
                <w:rFonts w:cs="Calibri"/>
                <w:b/>
                <w:sz w:val="20"/>
                <w:szCs w:val="20"/>
              </w:rPr>
            </w:pPr>
            <w:r w:rsidRPr="00FC6F0E">
              <w:rPr>
                <w:rFonts w:cs="Calibri"/>
                <w:b/>
                <w:sz w:val="20"/>
                <w:szCs w:val="20"/>
              </w:rPr>
              <w:t>Autorizovaný servis</w:t>
            </w:r>
          </w:p>
        </w:tc>
      </w:tr>
      <w:tr w:rsidR="0038119C" w:rsidRPr="00FC6F0E" w14:paraId="27B3A04B" w14:textId="77777777">
        <w:trPr>
          <w:cantSplit/>
          <w:trHeight w:val="922"/>
          <w:tblHeader/>
          <w:jc w:val="center"/>
        </w:trPr>
        <w:tc>
          <w:tcPr>
            <w:tcW w:w="2679" w:type="dxa"/>
            <w:shd w:val="clear" w:color="auto" w:fill="B8CCE4"/>
            <w:vAlign w:val="center"/>
          </w:tcPr>
          <w:p w14:paraId="4319F406" w14:textId="7547D61C" w:rsidR="0038119C" w:rsidRPr="00FC6F0E" w:rsidRDefault="00CB4572">
            <w:pPr>
              <w:spacing w:after="0" w:line="240" w:lineRule="auto"/>
              <w:rPr>
                <w:rFonts w:cs="Calibri"/>
                <w:b/>
                <w:sz w:val="20"/>
                <w:szCs w:val="20"/>
              </w:rPr>
            </w:pPr>
            <w:r>
              <w:rPr>
                <w:rFonts w:cs="Calibri"/>
                <w:b/>
                <w:sz w:val="20"/>
                <w:szCs w:val="20"/>
              </w:rPr>
              <w:t>Ovládací jednotka</w:t>
            </w:r>
          </w:p>
        </w:tc>
        <w:tc>
          <w:tcPr>
            <w:tcW w:w="1134" w:type="dxa"/>
            <w:vAlign w:val="center"/>
          </w:tcPr>
          <w:p w14:paraId="55B3624B" w14:textId="77777777" w:rsidR="0038119C" w:rsidRPr="00FC6F0E" w:rsidRDefault="0038119C">
            <w:pPr>
              <w:spacing w:after="0" w:line="240" w:lineRule="auto"/>
              <w:jc w:val="center"/>
              <w:rPr>
                <w:rFonts w:cs="Calibri"/>
                <w:b/>
                <w:sz w:val="20"/>
                <w:szCs w:val="20"/>
              </w:rPr>
            </w:pPr>
            <w:r>
              <w:rPr>
                <w:rFonts w:cs="Calibri"/>
                <w:b/>
                <w:sz w:val="20"/>
                <w:szCs w:val="20"/>
              </w:rPr>
              <w:t>1</w:t>
            </w:r>
          </w:p>
        </w:tc>
        <w:tc>
          <w:tcPr>
            <w:tcW w:w="1701" w:type="dxa"/>
            <w:vAlign w:val="center"/>
          </w:tcPr>
          <w:p w14:paraId="5DCEC876" w14:textId="77777777" w:rsidR="0038119C" w:rsidRPr="00FC6F0E" w:rsidRDefault="0038119C">
            <w:pPr>
              <w:spacing w:after="0" w:line="240" w:lineRule="auto"/>
              <w:jc w:val="center"/>
              <w:rPr>
                <w:rFonts w:cs="Calibri"/>
                <w:b/>
                <w:sz w:val="20"/>
                <w:szCs w:val="20"/>
              </w:rPr>
            </w:pPr>
          </w:p>
        </w:tc>
        <w:tc>
          <w:tcPr>
            <w:tcW w:w="1701" w:type="dxa"/>
            <w:vAlign w:val="center"/>
          </w:tcPr>
          <w:p w14:paraId="60ED4250" w14:textId="77777777" w:rsidR="0038119C" w:rsidRPr="00FC6F0E" w:rsidRDefault="0038119C">
            <w:pPr>
              <w:spacing w:after="0" w:line="240" w:lineRule="auto"/>
              <w:jc w:val="center"/>
              <w:rPr>
                <w:rFonts w:cs="Calibri"/>
                <w:b/>
                <w:sz w:val="20"/>
                <w:szCs w:val="20"/>
              </w:rPr>
            </w:pPr>
          </w:p>
        </w:tc>
        <w:tc>
          <w:tcPr>
            <w:tcW w:w="1984" w:type="dxa"/>
            <w:vAlign w:val="center"/>
          </w:tcPr>
          <w:p w14:paraId="0915E30A" w14:textId="77777777" w:rsidR="0038119C" w:rsidRPr="00FC6F0E" w:rsidRDefault="0038119C">
            <w:pPr>
              <w:spacing w:after="0" w:line="240" w:lineRule="auto"/>
              <w:jc w:val="center"/>
              <w:rPr>
                <w:rFonts w:cs="Calibri"/>
                <w:b/>
                <w:sz w:val="20"/>
                <w:szCs w:val="20"/>
              </w:rPr>
            </w:pPr>
          </w:p>
        </w:tc>
      </w:tr>
      <w:tr w:rsidR="00943856" w:rsidRPr="00FC6F0E" w14:paraId="104E06E7" w14:textId="77777777">
        <w:trPr>
          <w:cantSplit/>
          <w:trHeight w:val="922"/>
          <w:tblHeader/>
          <w:jc w:val="center"/>
        </w:trPr>
        <w:tc>
          <w:tcPr>
            <w:tcW w:w="2679" w:type="dxa"/>
            <w:shd w:val="clear" w:color="auto" w:fill="B8CCE4"/>
            <w:vAlign w:val="center"/>
          </w:tcPr>
          <w:p w14:paraId="39D42961" w14:textId="7FEA7BDF" w:rsidR="00943856" w:rsidRDefault="00E7337A">
            <w:pPr>
              <w:spacing w:after="0" w:line="240" w:lineRule="auto"/>
              <w:rPr>
                <w:rFonts w:cs="Calibri"/>
                <w:b/>
                <w:sz w:val="20"/>
                <w:szCs w:val="20"/>
              </w:rPr>
            </w:pPr>
            <w:r>
              <w:rPr>
                <w:rFonts w:cs="Calibri"/>
                <w:b/>
                <w:sz w:val="20"/>
                <w:szCs w:val="20"/>
              </w:rPr>
              <w:t>Set k</w:t>
            </w:r>
            <w:r w:rsidR="0061609F">
              <w:rPr>
                <w:rFonts w:cs="Calibri"/>
                <w:b/>
                <w:sz w:val="20"/>
                <w:szCs w:val="20"/>
              </w:rPr>
              <w:t>rátkodob</w:t>
            </w:r>
            <w:r>
              <w:rPr>
                <w:rFonts w:cs="Calibri"/>
                <w:b/>
                <w:sz w:val="20"/>
                <w:szCs w:val="20"/>
              </w:rPr>
              <w:t>é</w:t>
            </w:r>
            <w:r w:rsidR="0061609F">
              <w:rPr>
                <w:rFonts w:cs="Calibri"/>
                <w:b/>
                <w:sz w:val="20"/>
                <w:szCs w:val="20"/>
              </w:rPr>
              <w:t xml:space="preserve"> m</w:t>
            </w:r>
            <w:r w:rsidR="00943856">
              <w:rPr>
                <w:rFonts w:cs="Calibri"/>
                <w:b/>
                <w:sz w:val="20"/>
                <w:szCs w:val="20"/>
              </w:rPr>
              <w:t>echanick</w:t>
            </w:r>
            <w:r>
              <w:rPr>
                <w:rFonts w:cs="Calibri"/>
                <w:b/>
                <w:sz w:val="20"/>
                <w:szCs w:val="20"/>
              </w:rPr>
              <w:t>é</w:t>
            </w:r>
            <w:r w:rsidR="00943856">
              <w:rPr>
                <w:rFonts w:cs="Calibri"/>
                <w:b/>
                <w:sz w:val="20"/>
                <w:szCs w:val="20"/>
              </w:rPr>
              <w:t xml:space="preserve"> srdeční </w:t>
            </w:r>
            <w:r w:rsidR="0061609F">
              <w:rPr>
                <w:rFonts w:cs="Calibri"/>
                <w:b/>
                <w:sz w:val="20"/>
                <w:szCs w:val="20"/>
              </w:rPr>
              <w:t>podpor</w:t>
            </w:r>
            <w:r>
              <w:rPr>
                <w:rFonts w:cs="Calibri"/>
                <w:b/>
                <w:sz w:val="20"/>
                <w:szCs w:val="20"/>
              </w:rPr>
              <w:t>y</w:t>
            </w:r>
          </w:p>
        </w:tc>
        <w:tc>
          <w:tcPr>
            <w:tcW w:w="1134" w:type="dxa"/>
            <w:vAlign w:val="center"/>
          </w:tcPr>
          <w:p w14:paraId="1B445305" w14:textId="3501FC5D" w:rsidR="00943856" w:rsidRDefault="0061609F">
            <w:pPr>
              <w:spacing w:after="0" w:line="240" w:lineRule="auto"/>
              <w:jc w:val="center"/>
              <w:rPr>
                <w:rFonts w:cs="Calibri"/>
                <w:b/>
                <w:sz w:val="20"/>
                <w:szCs w:val="20"/>
              </w:rPr>
            </w:pPr>
            <w:r>
              <w:rPr>
                <w:rFonts w:cs="Calibri"/>
                <w:b/>
                <w:sz w:val="20"/>
                <w:szCs w:val="20"/>
              </w:rPr>
              <w:t>60</w:t>
            </w:r>
          </w:p>
        </w:tc>
        <w:tc>
          <w:tcPr>
            <w:tcW w:w="1701" w:type="dxa"/>
            <w:vAlign w:val="center"/>
          </w:tcPr>
          <w:p w14:paraId="2731A60F" w14:textId="77777777" w:rsidR="00943856" w:rsidRPr="00FC6F0E" w:rsidRDefault="00943856">
            <w:pPr>
              <w:spacing w:after="0" w:line="240" w:lineRule="auto"/>
              <w:jc w:val="center"/>
              <w:rPr>
                <w:rFonts w:cs="Calibri"/>
                <w:b/>
                <w:sz w:val="20"/>
                <w:szCs w:val="20"/>
              </w:rPr>
            </w:pPr>
          </w:p>
        </w:tc>
        <w:tc>
          <w:tcPr>
            <w:tcW w:w="1701" w:type="dxa"/>
            <w:vAlign w:val="center"/>
          </w:tcPr>
          <w:p w14:paraId="36BC4C9D" w14:textId="77777777" w:rsidR="00943856" w:rsidRPr="00FC6F0E" w:rsidRDefault="00943856">
            <w:pPr>
              <w:spacing w:after="0" w:line="240" w:lineRule="auto"/>
              <w:jc w:val="center"/>
              <w:rPr>
                <w:rFonts w:cs="Calibri"/>
                <w:b/>
                <w:sz w:val="20"/>
                <w:szCs w:val="20"/>
              </w:rPr>
            </w:pPr>
          </w:p>
        </w:tc>
        <w:tc>
          <w:tcPr>
            <w:tcW w:w="1984" w:type="dxa"/>
            <w:vAlign w:val="center"/>
          </w:tcPr>
          <w:p w14:paraId="70D40198" w14:textId="77777777" w:rsidR="00943856" w:rsidRPr="00FC6F0E" w:rsidRDefault="00943856">
            <w:pPr>
              <w:spacing w:after="0" w:line="240" w:lineRule="auto"/>
              <w:jc w:val="center"/>
              <w:rPr>
                <w:rFonts w:cs="Calibri"/>
                <w:b/>
                <w:sz w:val="20"/>
                <w:szCs w:val="20"/>
              </w:rPr>
            </w:pPr>
          </w:p>
        </w:tc>
      </w:tr>
    </w:tbl>
    <w:p w14:paraId="0CB9BD8E" w14:textId="77777777" w:rsidR="003A5AA8" w:rsidRDefault="003A5AA8" w:rsidP="008D4927">
      <w:pPr>
        <w:jc w:val="both"/>
      </w:pPr>
    </w:p>
    <w:p w14:paraId="5ED24F6E" w14:textId="77777777" w:rsidR="003A5AA8" w:rsidRDefault="003A5AA8" w:rsidP="008D4927">
      <w:pPr>
        <w:jc w:val="both"/>
      </w:pPr>
    </w:p>
    <w:p w14:paraId="607BD67F" w14:textId="77777777" w:rsidR="000F59FB" w:rsidRDefault="000F59FB" w:rsidP="008D4927">
      <w:pPr>
        <w:jc w:val="both"/>
      </w:pPr>
    </w:p>
    <w:p w14:paraId="7C709DC4" w14:textId="77777777" w:rsidR="003A5AA8" w:rsidRDefault="003A5AA8" w:rsidP="008D4927">
      <w:pPr>
        <w:jc w:val="both"/>
      </w:pPr>
    </w:p>
    <w:p w14:paraId="4573CA9C" w14:textId="77777777" w:rsidR="001A5B58" w:rsidRDefault="001A5B58" w:rsidP="001C17E8">
      <w:pPr>
        <w:jc w:val="both"/>
        <w:rPr>
          <w:b/>
          <w:szCs w:val="32"/>
        </w:rPr>
      </w:pPr>
      <w:r>
        <w:rPr>
          <w:b/>
          <w:szCs w:val="32"/>
        </w:rPr>
        <w:br/>
      </w:r>
    </w:p>
    <w:p w14:paraId="17C21B7A" w14:textId="77777777" w:rsidR="00AD660C" w:rsidRDefault="00AD660C" w:rsidP="00621E23">
      <w:pPr>
        <w:rPr>
          <w:b/>
          <w:szCs w:val="32"/>
        </w:rPr>
      </w:pPr>
    </w:p>
    <w:p w14:paraId="7FBEFF7B" w14:textId="20487BCD" w:rsidR="00443ACD" w:rsidRDefault="001A7865" w:rsidP="00621E23">
      <w:pPr>
        <w:rPr>
          <w:b/>
          <w:szCs w:val="32"/>
        </w:rPr>
      </w:pPr>
      <w:r w:rsidRPr="001A7865">
        <w:rPr>
          <w:b/>
          <w:szCs w:val="32"/>
        </w:rPr>
        <w:lastRenderedPageBreak/>
        <w:t xml:space="preserve">Uvedené požadavky jsou </w:t>
      </w:r>
      <w:proofErr w:type="spellStart"/>
      <w:r w:rsidRPr="001A7865">
        <w:rPr>
          <w:b/>
          <w:szCs w:val="32"/>
        </w:rPr>
        <w:t>nepodkročitelné</w:t>
      </w:r>
      <w:proofErr w:type="spellEnd"/>
      <w:r w:rsidR="00443DBB">
        <w:rPr>
          <w:b/>
          <w:szCs w:val="32"/>
        </w:rPr>
        <w:t>. To znamená</w:t>
      </w:r>
      <w:r w:rsidRPr="001A7865">
        <w:rPr>
          <w:b/>
          <w:szCs w:val="32"/>
        </w:rPr>
        <w:t>, že jejich nesplnění bude posouzeno jako nesplnění technických požadavků na předmět plnění daných zadávací dokumentací a</w:t>
      </w:r>
      <w:r w:rsidR="009066C7">
        <w:rPr>
          <w:b/>
          <w:szCs w:val="32"/>
        </w:rPr>
        <w:t> </w:t>
      </w:r>
      <w:r w:rsidRPr="001A7865">
        <w:rPr>
          <w:b/>
          <w:szCs w:val="32"/>
        </w:rPr>
        <w:t>povede k vyloučení účastníka ze zadávacího řízení.</w:t>
      </w:r>
    </w:p>
    <w:tbl>
      <w:tblPr>
        <w:tblStyle w:val="Mkatabulky"/>
        <w:tblW w:w="984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64"/>
        <w:gridCol w:w="5500"/>
        <w:gridCol w:w="1276"/>
        <w:gridCol w:w="2207"/>
      </w:tblGrid>
      <w:tr w:rsidR="004115C9" w:rsidRPr="00763827" w14:paraId="75A6D7EE" w14:textId="77777777" w:rsidTr="00AB1E94">
        <w:trPr>
          <w:cantSplit/>
          <w:trHeight w:val="759"/>
          <w:tblHeader/>
          <w:jc w:val="center"/>
        </w:trPr>
        <w:tc>
          <w:tcPr>
            <w:tcW w:w="864" w:type="dxa"/>
            <w:tcBorders>
              <w:top w:val="single" w:sz="12" w:space="0" w:color="auto"/>
            </w:tcBorders>
            <w:shd w:val="clear" w:color="auto" w:fill="BFBFBF" w:themeFill="background1" w:themeFillShade="BF"/>
            <w:vAlign w:val="center"/>
          </w:tcPr>
          <w:p w14:paraId="3C56EA1C" w14:textId="6DDF0F84" w:rsidR="004115C9" w:rsidRPr="00763827" w:rsidRDefault="00EF7AD4" w:rsidP="004115C9">
            <w:pPr>
              <w:jc w:val="center"/>
              <w:rPr>
                <w:rFonts w:cstheme="minorHAnsi"/>
                <w:b/>
              </w:rPr>
            </w:pPr>
            <w:r>
              <w:rPr>
                <w:rFonts w:cstheme="minorHAnsi"/>
                <w:b/>
              </w:rPr>
              <w:t>P. č.</w:t>
            </w:r>
          </w:p>
        </w:tc>
        <w:tc>
          <w:tcPr>
            <w:tcW w:w="5500" w:type="dxa"/>
            <w:tcBorders>
              <w:top w:val="single" w:sz="12" w:space="0" w:color="auto"/>
            </w:tcBorders>
            <w:shd w:val="clear" w:color="auto" w:fill="BFBFBF" w:themeFill="background1" w:themeFillShade="BF"/>
            <w:vAlign w:val="center"/>
          </w:tcPr>
          <w:p w14:paraId="6D600DC9" w14:textId="77777777" w:rsidR="004115C9" w:rsidRPr="006533CF" w:rsidRDefault="004115C9" w:rsidP="00085C06">
            <w:pPr>
              <w:jc w:val="center"/>
              <w:rPr>
                <w:rFonts w:cstheme="minorHAnsi"/>
                <w:b/>
              </w:rPr>
            </w:pPr>
            <w:r w:rsidRPr="006533CF">
              <w:rPr>
                <w:rFonts w:cstheme="minorHAnsi"/>
                <w:b/>
              </w:rPr>
              <w:t>Požadavek</w:t>
            </w:r>
          </w:p>
        </w:tc>
        <w:tc>
          <w:tcPr>
            <w:tcW w:w="1276" w:type="dxa"/>
            <w:tcBorders>
              <w:top w:val="single" w:sz="12" w:space="0" w:color="auto"/>
            </w:tcBorders>
            <w:shd w:val="clear" w:color="auto" w:fill="BFBFBF" w:themeFill="background1" w:themeFillShade="BF"/>
            <w:vAlign w:val="center"/>
          </w:tcPr>
          <w:p w14:paraId="18FDBB27" w14:textId="77777777" w:rsidR="004115C9" w:rsidRPr="00763827" w:rsidRDefault="004115C9" w:rsidP="00085C06">
            <w:pPr>
              <w:jc w:val="center"/>
              <w:rPr>
                <w:rFonts w:cstheme="minorHAnsi"/>
                <w:b/>
              </w:rPr>
            </w:pPr>
            <w:r w:rsidRPr="00763827">
              <w:rPr>
                <w:rFonts w:cstheme="minorHAnsi"/>
                <w:b/>
              </w:rPr>
              <w:t xml:space="preserve">Splnění </w:t>
            </w:r>
          </w:p>
          <w:p w14:paraId="590186A2" w14:textId="77777777" w:rsidR="004115C9" w:rsidRPr="00763827" w:rsidRDefault="004115C9" w:rsidP="00085C06">
            <w:pPr>
              <w:jc w:val="center"/>
              <w:rPr>
                <w:rFonts w:cstheme="minorHAnsi"/>
                <w:b/>
              </w:rPr>
            </w:pPr>
            <w:r w:rsidRPr="00763827">
              <w:rPr>
                <w:rFonts w:cstheme="minorHAnsi"/>
                <w:b/>
              </w:rPr>
              <w:t>ANO/NE</w:t>
            </w:r>
          </w:p>
        </w:tc>
        <w:tc>
          <w:tcPr>
            <w:tcW w:w="2207" w:type="dxa"/>
            <w:tcBorders>
              <w:top w:val="single" w:sz="12" w:space="0" w:color="auto"/>
            </w:tcBorders>
            <w:shd w:val="clear" w:color="auto" w:fill="BFBFBF" w:themeFill="background1" w:themeFillShade="BF"/>
            <w:vAlign w:val="center"/>
          </w:tcPr>
          <w:p w14:paraId="2A96C8EC" w14:textId="15FDEDAB" w:rsidR="004115C9" w:rsidRPr="00763827" w:rsidRDefault="00F45EE7" w:rsidP="00085C06">
            <w:pPr>
              <w:jc w:val="center"/>
              <w:rPr>
                <w:rFonts w:cstheme="minorHAnsi"/>
                <w:b/>
              </w:rPr>
            </w:pPr>
            <w:r>
              <w:rPr>
                <w:rFonts w:cstheme="minorHAnsi"/>
                <w:b/>
              </w:rPr>
              <w:t>Popis, specifikace, hodnota</w:t>
            </w:r>
          </w:p>
        </w:tc>
      </w:tr>
      <w:tr w:rsidR="00A4104F" w:rsidRPr="00763827" w14:paraId="6BDFFB4E" w14:textId="77777777" w:rsidTr="00A4104F">
        <w:trPr>
          <w:cantSplit/>
          <w:trHeight w:val="331"/>
          <w:jc w:val="center"/>
        </w:trPr>
        <w:tc>
          <w:tcPr>
            <w:tcW w:w="9847" w:type="dxa"/>
            <w:gridSpan w:val="4"/>
            <w:shd w:val="clear" w:color="auto" w:fill="C6D9F1" w:themeFill="text2" w:themeFillTint="33"/>
            <w:vAlign w:val="center"/>
          </w:tcPr>
          <w:p w14:paraId="7FE0BDD8" w14:textId="10CAC9C9" w:rsidR="00A4104F" w:rsidRPr="009F5CCD" w:rsidRDefault="00A4104F" w:rsidP="009851FA">
            <w:pPr>
              <w:contextualSpacing/>
              <w:rPr>
                <w:rFonts w:cstheme="minorHAnsi"/>
              </w:rPr>
            </w:pPr>
            <w:r>
              <w:rPr>
                <w:rFonts w:cstheme="minorHAnsi"/>
                <w:b/>
                <w:bCs/>
              </w:rPr>
              <w:t>Předmět dodávky</w:t>
            </w:r>
            <w:r w:rsidR="009114C0">
              <w:rPr>
                <w:rFonts w:cstheme="minorHAnsi"/>
                <w:b/>
                <w:bCs/>
              </w:rPr>
              <w:t xml:space="preserve"> – specifikováno dle systému IMPELLA </w:t>
            </w:r>
            <w:proofErr w:type="spellStart"/>
            <w:r w:rsidR="00284698">
              <w:rPr>
                <w:rFonts w:cstheme="minorHAnsi"/>
                <w:b/>
                <w:bCs/>
              </w:rPr>
              <w:t>Controller</w:t>
            </w:r>
            <w:proofErr w:type="spellEnd"/>
            <w:r w:rsidR="00284698">
              <w:rPr>
                <w:rFonts w:cstheme="minorHAnsi"/>
                <w:b/>
                <w:bCs/>
              </w:rPr>
              <w:t xml:space="preserve"> </w:t>
            </w:r>
            <w:r w:rsidR="009114C0">
              <w:rPr>
                <w:rFonts w:cstheme="minorHAnsi"/>
                <w:b/>
                <w:bCs/>
              </w:rPr>
              <w:t xml:space="preserve">(výr. </w:t>
            </w:r>
            <w:proofErr w:type="spellStart"/>
            <w:r w:rsidR="009114C0">
              <w:rPr>
                <w:rFonts w:cstheme="minorHAnsi"/>
                <w:b/>
                <w:bCs/>
              </w:rPr>
              <w:t>Abiomed</w:t>
            </w:r>
            <w:proofErr w:type="spellEnd"/>
            <w:r w:rsidR="009114C0">
              <w:rPr>
                <w:rFonts w:cstheme="minorHAnsi"/>
                <w:b/>
                <w:bCs/>
              </w:rPr>
              <w:t>, Inc.)</w:t>
            </w:r>
          </w:p>
        </w:tc>
      </w:tr>
      <w:tr w:rsidR="000C48F5" w:rsidRPr="00763827" w14:paraId="410AFE8F" w14:textId="77777777" w:rsidTr="00E4775A">
        <w:trPr>
          <w:cantSplit/>
          <w:trHeight w:val="331"/>
          <w:jc w:val="center"/>
        </w:trPr>
        <w:tc>
          <w:tcPr>
            <w:tcW w:w="864" w:type="dxa"/>
            <w:vAlign w:val="center"/>
          </w:tcPr>
          <w:p w14:paraId="0CD275FF" w14:textId="21633FBA" w:rsidR="000C48F5" w:rsidRPr="00B04180" w:rsidRDefault="00A06653">
            <w:pPr>
              <w:contextualSpacing/>
              <w:jc w:val="center"/>
              <w:rPr>
                <w:rFonts w:cstheme="minorHAnsi"/>
                <w:b/>
              </w:rPr>
            </w:pPr>
            <w:r>
              <w:rPr>
                <w:rFonts w:cstheme="minorHAnsi"/>
                <w:b/>
              </w:rPr>
              <w:t>1</w:t>
            </w:r>
          </w:p>
        </w:tc>
        <w:tc>
          <w:tcPr>
            <w:tcW w:w="5500" w:type="dxa"/>
            <w:vAlign w:val="center"/>
          </w:tcPr>
          <w:p w14:paraId="010573F5" w14:textId="45C674C5" w:rsidR="00523C65" w:rsidRPr="00B04180" w:rsidRDefault="009114C0" w:rsidP="00872384">
            <w:pPr>
              <w:contextualSpacing/>
              <w:jc w:val="both"/>
              <w:rPr>
                <w:rFonts w:cstheme="minorHAnsi"/>
              </w:rPr>
            </w:pPr>
            <w:r>
              <w:rPr>
                <w:rFonts w:cstheme="minorHAnsi"/>
              </w:rPr>
              <w:t xml:space="preserve">Výpůjčka 1 </w:t>
            </w:r>
            <w:r w:rsidRPr="009114C0">
              <w:rPr>
                <w:rFonts w:cstheme="minorHAnsi"/>
              </w:rPr>
              <w:t xml:space="preserve">ks </w:t>
            </w:r>
            <w:r w:rsidR="00CE0807">
              <w:rPr>
                <w:rFonts w:cstheme="minorHAnsi"/>
              </w:rPr>
              <w:t>ovládací jednotky</w:t>
            </w:r>
            <w:r w:rsidRPr="009114C0">
              <w:rPr>
                <w:rFonts w:cstheme="minorHAnsi"/>
              </w:rPr>
              <w:t xml:space="preserve"> určen</w:t>
            </w:r>
            <w:r>
              <w:rPr>
                <w:rFonts w:cstheme="minorHAnsi"/>
              </w:rPr>
              <w:t>ého</w:t>
            </w:r>
            <w:r w:rsidR="00C65025">
              <w:rPr>
                <w:rFonts w:cstheme="minorHAnsi"/>
              </w:rPr>
              <w:t xml:space="preserve"> </w:t>
            </w:r>
            <w:r w:rsidR="00C65025">
              <w:rPr>
                <w:rFonts w:cstheme="minorHAnsi"/>
              </w:rPr>
              <w:br/>
            </w:r>
            <w:r w:rsidRPr="009114C0">
              <w:rPr>
                <w:rFonts w:cstheme="minorHAnsi"/>
              </w:rPr>
              <w:t>k</w:t>
            </w:r>
            <w:r w:rsidR="00C65025">
              <w:rPr>
                <w:rFonts w:cstheme="minorHAnsi"/>
              </w:rPr>
              <w:t xml:space="preserve"> implementačnímu</w:t>
            </w:r>
            <w:r w:rsidR="00523C65">
              <w:rPr>
                <w:rFonts w:cstheme="minorHAnsi"/>
              </w:rPr>
              <w:t> </w:t>
            </w:r>
            <w:r w:rsidRPr="009114C0">
              <w:rPr>
                <w:rFonts w:cstheme="minorHAnsi"/>
              </w:rPr>
              <w:t>setu</w:t>
            </w:r>
            <w:r w:rsidR="00523C65">
              <w:rPr>
                <w:rFonts w:cstheme="minorHAnsi"/>
              </w:rPr>
              <w:t xml:space="preserve"> – popsanému níže</w:t>
            </w:r>
          </w:p>
        </w:tc>
        <w:tc>
          <w:tcPr>
            <w:tcW w:w="1276" w:type="dxa"/>
            <w:vAlign w:val="center"/>
          </w:tcPr>
          <w:p w14:paraId="493E39F2" w14:textId="77777777" w:rsidR="000C48F5" w:rsidRPr="009F5CCD" w:rsidRDefault="000C48F5">
            <w:pPr>
              <w:contextualSpacing/>
              <w:rPr>
                <w:rFonts w:cstheme="minorHAnsi"/>
              </w:rPr>
            </w:pPr>
          </w:p>
        </w:tc>
        <w:tc>
          <w:tcPr>
            <w:tcW w:w="2207" w:type="dxa"/>
            <w:vAlign w:val="center"/>
          </w:tcPr>
          <w:p w14:paraId="7341DEBD" w14:textId="77777777" w:rsidR="000C48F5" w:rsidRPr="009F5CCD" w:rsidRDefault="000C48F5">
            <w:pPr>
              <w:contextualSpacing/>
              <w:rPr>
                <w:rFonts w:cstheme="minorHAnsi"/>
              </w:rPr>
            </w:pPr>
          </w:p>
        </w:tc>
      </w:tr>
      <w:tr w:rsidR="00523C65" w:rsidRPr="00763827" w14:paraId="62FAC9D1" w14:textId="77777777" w:rsidTr="00E4775A">
        <w:trPr>
          <w:cantSplit/>
          <w:trHeight w:val="331"/>
          <w:jc w:val="center"/>
        </w:trPr>
        <w:tc>
          <w:tcPr>
            <w:tcW w:w="864" w:type="dxa"/>
            <w:vAlign w:val="center"/>
          </w:tcPr>
          <w:p w14:paraId="28334995" w14:textId="004F5CB2" w:rsidR="00523C65" w:rsidRDefault="00F629C4">
            <w:pPr>
              <w:contextualSpacing/>
              <w:jc w:val="center"/>
              <w:rPr>
                <w:rFonts w:cstheme="minorHAnsi"/>
                <w:b/>
              </w:rPr>
            </w:pPr>
            <w:r>
              <w:rPr>
                <w:rFonts w:cstheme="minorHAnsi"/>
                <w:b/>
              </w:rPr>
              <w:t>2</w:t>
            </w:r>
          </w:p>
        </w:tc>
        <w:tc>
          <w:tcPr>
            <w:tcW w:w="5500" w:type="dxa"/>
            <w:vAlign w:val="center"/>
          </w:tcPr>
          <w:p w14:paraId="11608D6C" w14:textId="77777777" w:rsidR="00523C65" w:rsidRDefault="00CE0807" w:rsidP="00872384">
            <w:pPr>
              <w:contextualSpacing/>
              <w:jc w:val="both"/>
              <w:rPr>
                <w:rFonts w:cstheme="minorHAnsi"/>
              </w:rPr>
            </w:pPr>
            <w:r>
              <w:rPr>
                <w:rFonts w:cstheme="minorHAnsi"/>
              </w:rPr>
              <w:t>Součástí implementačního setu je:</w:t>
            </w:r>
          </w:p>
          <w:p w14:paraId="2C7FFDE4" w14:textId="77777777" w:rsidR="00CE0807" w:rsidRDefault="00E12F61" w:rsidP="00CE0807">
            <w:pPr>
              <w:pStyle w:val="Odstavecseseznamem"/>
              <w:numPr>
                <w:ilvl w:val="0"/>
                <w:numId w:val="17"/>
              </w:numPr>
              <w:jc w:val="both"/>
              <w:rPr>
                <w:rFonts w:cstheme="minorHAnsi"/>
              </w:rPr>
            </w:pPr>
            <w:r>
              <w:rPr>
                <w:rFonts w:cstheme="minorHAnsi"/>
              </w:rPr>
              <w:t>zaváděcí set</w:t>
            </w:r>
          </w:p>
          <w:p w14:paraId="2A93880D" w14:textId="77777777" w:rsidR="00E12F61" w:rsidRDefault="00E12F61" w:rsidP="00CE0807">
            <w:pPr>
              <w:pStyle w:val="Odstavecseseznamem"/>
              <w:numPr>
                <w:ilvl w:val="0"/>
                <w:numId w:val="17"/>
              </w:numPr>
              <w:jc w:val="both"/>
              <w:rPr>
                <w:rFonts w:cstheme="minorHAnsi"/>
              </w:rPr>
            </w:pPr>
            <w:r>
              <w:rPr>
                <w:rFonts w:cstheme="minorHAnsi"/>
              </w:rPr>
              <w:t>proplachovací set</w:t>
            </w:r>
          </w:p>
          <w:p w14:paraId="489B8A08" w14:textId="77777777" w:rsidR="00E12F61" w:rsidRDefault="00E12F61" w:rsidP="00540C5B">
            <w:pPr>
              <w:pStyle w:val="Odstavecseseznamem"/>
              <w:numPr>
                <w:ilvl w:val="0"/>
                <w:numId w:val="17"/>
              </w:numPr>
              <w:jc w:val="both"/>
              <w:rPr>
                <w:rFonts w:cstheme="minorHAnsi"/>
              </w:rPr>
            </w:pPr>
            <w:r>
              <w:rPr>
                <w:rFonts w:cstheme="minorHAnsi"/>
              </w:rPr>
              <w:t>vodící drát 0,018“</w:t>
            </w:r>
          </w:p>
          <w:p w14:paraId="529AACD3" w14:textId="7A894CAC" w:rsidR="00540C5B" w:rsidRPr="00540C5B" w:rsidRDefault="00E85222" w:rsidP="00540C5B">
            <w:pPr>
              <w:pStyle w:val="Odstavecseseznamem"/>
              <w:numPr>
                <w:ilvl w:val="0"/>
                <w:numId w:val="17"/>
              </w:numPr>
              <w:jc w:val="both"/>
              <w:rPr>
                <w:rFonts w:cstheme="minorHAnsi"/>
              </w:rPr>
            </w:pPr>
            <w:r>
              <w:rPr>
                <w:rFonts w:cstheme="minorHAnsi"/>
              </w:rPr>
              <w:t>katetr s pevně připojeným elektrickým kabelem s</w:t>
            </w:r>
            <w:r w:rsidR="00005B96">
              <w:rPr>
                <w:rFonts w:cstheme="minorHAnsi"/>
              </w:rPr>
              <w:t> </w:t>
            </w:r>
            <w:r>
              <w:rPr>
                <w:rFonts w:cstheme="minorHAnsi"/>
              </w:rPr>
              <w:t>in</w:t>
            </w:r>
            <w:r w:rsidR="00005B96">
              <w:rPr>
                <w:rFonts w:cstheme="minorHAnsi"/>
              </w:rPr>
              <w:t xml:space="preserve">tegrovaným optickým </w:t>
            </w:r>
            <w:r w:rsidR="00F629C4">
              <w:rPr>
                <w:rFonts w:cstheme="minorHAnsi"/>
              </w:rPr>
              <w:t>vláknem</w:t>
            </w:r>
          </w:p>
        </w:tc>
        <w:tc>
          <w:tcPr>
            <w:tcW w:w="1276" w:type="dxa"/>
            <w:vAlign w:val="center"/>
          </w:tcPr>
          <w:p w14:paraId="12E4F060" w14:textId="77777777" w:rsidR="00523C65" w:rsidRPr="009F5CCD" w:rsidRDefault="00523C65">
            <w:pPr>
              <w:contextualSpacing/>
              <w:rPr>
                <w:rFonts w:cstheme="minorHAnsi"/>
              </w:rPr>
            </w:pPr>
          </w:p>
        </w:tc>
        <w:tc>
          <w:tcPr>
            <w:tcW w:w="2207" w:type="dxa"/>
            <w:vAlign w:val="center"/>
          </w:tcPr>
          <w:p w14:paraId="73E63E8E" w14:textId="77777777" w:rsidR="00523C65" w:rsidRPr="009F5CCD" w:rsidRDefault="00523C65">
            <w:pPr>
              <w:contextualSpacing/>
              <w:rPr>
                <w:rFonts w:cstheme="minorHAnsi"/>
              </w:rPr>
            </w:pPr>
          </w:p>
        </w:tc>
      </w:tr>
      <w:tr w:rsidR="005F3511" w:rsidRPr="00763827" w14:paraId="226DE132" w14:textId="77777777" w:rsidTr="00345685">
        <w:trPr>
          <w:cantSplit/>
          <w:trHeight w:val="331"/>
          <w:jc w:val="center"/>
        </w:trPr>
        <w:tc>
          <w:tcPr>
            <w:tcW w:w="9847" w:type="dxa"/>
            <w:gridSpan w:val="4"/>
            <w:shd w:val="clear" w:color="auto" w:fill="C6D9F1" w:themeFill="text2" w:themeFillTint="33"/>
            <w:vAlign w:val="center"/>
          </w:tcPr>
          <w:p w14:paraId="3EA03068" w14:textId="075F7664" w:rsidR="005F3511" w:rsidRPr="005F3511" w:rsidRDefault="005F3511" w:rsidP="005F3511">
            <w:pPr>
              <w:jc w:val="both"/>
              <w:rPr>
                <w:rFonts w:cstheme="minorHAnsi"/>
                <w:b/>
                <w:bCs/>
              </w:rPr>
            </w:pPr>
            <w:r w:rsidRPr="005F3511">
              <w:rPr>
                <w:rFonts w:cstheme="minorHAnsi"/>
                <w:b/>
                <w:bCs/>
              </w:rPr>
              <w:t>Automatizovaná řídicí jednotka</w:t>
            </w:r>
          </w:p>
        </w:tc>
      </w:tr>
      <w:tr w:rsidR="00FE44B7" w:rsidRPr="00763827" w14:paraId="34FA111B" w14:textId="77777777" w:rsidTr="00E4775A">
        <w:trPr>
          <w:cantSplit/>
          <w:trHeight w:val="331"/>
          <w:jc w:val="center"/>
        </w:trPr>
        <w:tc>
          <w:tcPr>
            <w:tcW w:w="864" w:type="dxa"/>
            <w:vAlign w:val="center"/>
          </w:tcPr>
          <w:p w14:paraId="561CFD50" w14:textId="4B56C1AE" w:rsidR="00FE44B7" w:rsidRDefault="00F629C4">
            <w:pPr>
              <w:contextualSpacing/>
              <w:jc w:val="center"/>
              <w:rPr>
                <w:rFonts w:cstheme="minorHAnsi"/>
                <w:b/>
              </w:rPr>
            </w:pPr>
            <w:r>
              <w:rPr>
                <w:rFonts w:cstheme="minorHAnsi"/>
                <w:b/>
              </w:rPr>
              <w:t>3</w:t>
            </w:r>
            <w:r w:rsidR="00EF7AD4">
              <w:rPr>
                <w:rFonts w:cstheme="minorHAnsi"/>
                <w:b/>
              </w:rPr>
              <w:t xml:space="preserve"> </w:t>
            </w:r>
          </w:p>
        </w:tc>
        <w:tc>
          <w:tcPr>
            <w:tcW w:w="5500" w:type="dxa"/>
            <w:vAlign w:val="center"/>
          </w:tcPr>
          <w:p w14:paraId="312EC513" w14:textId="15BC37E7" w:rsidR="00FE44B7" w:rsidRDefault="009114C0" w:rsidP="00872384">
            <w:pPr>
              <w:jc w:val="both"/>
              <w:rPr>
                <w:rFonts w:cstheme="minorHAnsi"/>
              </w:rPr>
            </w:pPr>
            <w:r>
              <w:rPr>
                <w:rFonts w:cstheme="minorHAnsi"/>
              </w:rPr>
              <w:t>-</w:t>
            </w:r>
            <w:r w:rsidRPr="009114C0">
              <w:rPr>
                <w:rFonts w:cstheme="minorHAnsi"/>
              </w:rPr>
              <w:t xml:space="preserve"> poskytuje rozhraní pro sledování a řízení funkce katétrů</w:t>
            </w:r>
          </w:p>
        </w:tc>
        <w:tc>
          <w:tcPr>
            <w:tcW w:w="1276" w:type="dxa"/>
            <w:vAlign w:val="center"/>
          </w:tcPr>
          <w:p w14:paraId="6A4B29AA" w14:textId="574493B8" w:rsidR="00FE44B7" w:rsidRPr="009F5CCD" w:rsidRDefault="00FE44B7">
            <w:pPr>
              <w:contextualSpacing/>
              <w:rPr>
                <w:rFonts w:cstheme="minorHAnsi"/>
              </w:rPr>
            </w:pPr>
          </w:p>
        </w:tc>
        <w:tc>
          <w:tcPr>
            <w:tcW w:w="2207" w:type="dxa"/>
            <w:vAlign w:val="center"/>
          </w:tcPr>
          <w:p w14:paraId="608A4EB3" w14:textId="77777777" w:rsidR="00FE44B7" w:rsidRPr="009F5CCD" w:rsidRDefault="00FE44B7">
            <w:pPr>
              <w:contextualSpacing/>
              <w:rPr>
                <w:rFonts w:cstheme="minorHAnsi"/>
              </w:rPr>
            </w:pPr>
          </w:p>
        </w:tc>
      </w:tr>
      <w:tr w:rsidR="00154BB8" w:rsidRPr="00763827" w14:paraId="4FF44AA4" w14:textId="77777777" w:rsidTr="00E4775A">
        <w:trPr>
          <w:cantSplit/>
          <w:trHeight w:val="331"/>
          <w:jc w:val="center"/>
        </w:trPr>
        <w:tc>
          <w:tcPr>
            <w:tcW w:w="864" w:type="dxa"/>
            <w:vAlign w:val="center"/>
          </w:tcPr>
          <w:p w14:paraId="2AA93FB6" w14:textId="73099A3C" w:rsidR="00154BB8" w:rsidRDefault="00F629C4">
            <w:pPr>
              <w:contextualSpacing/>
              <w:jc w:val="center"/>
              <w:rPr>
                <w:rFonts w:cstheme="minorHAnsi"/>
                <w:b/>
              </w:rPr>
            </w:pPr>
            <w:r>
              <w:rPr>
                <w:rFonts w:cstheme="minorHAnsi"/>
                <w:b/>
              </w:rPr>
              <w:t>4</w:t>
            </w:r>
          </w:p>
        </w:tc>
        <w:tc>
          <w:tcPr>
            <w:tcW w:w="5500" w:type="dxa"/>
            <w:vAlign w:val="center"/>
          </w:tcPr>
          <w:p w14:paraId="39FDF445" w14:textId="0F472FB1" w:rsidR="00DD007B" w:rsidRPr="005140E9" w:rsidRDefault="009114C0" w:rsidP="00872384">
            <w:pPr>
              <w:jc w:val="both"/>
              <w:rPr>
                <w:rFonts w:cstheme="minorHAnsi"/>
              </w:rPr>
            </w:pPr>
            <w:r>
              <w:rPr>
                <w:rFonts w:cstheme="minorHAnsi"/>
              </w:rPr>
              <w:t>- z</w:t>
            </w:r>
            <w:r w:rsidRPr="009114C0">
              <w:rPr>
                <w:rFonts w:cstheme="minorHAnsi"/>
              </w:rPr>
              <w:t>ajišťuje proplachování katétrů tekutinou</w:t>
            </w:r>
            <w:r>
              <w:rPr>
                <w:rFonts w:cstheme="minorHAnsi"/>
              </w:rPr>
              <w:t>,</w:t>
            </w:r>
          </w:p>
        </w:tc>
        <w:tc>
          <w:tcPr>
            <w:tcW w:w="1276" w:type="dxa"/>
            <w:vAlign w:val="center"/>
          </w:tcPr>
          <w:p w14:paraId="5E90DC06" w14:textId="77777777" w:rsidR="00154BB8" w:rsidRPr="009F5CCD" w:rsidRDefault="00154BB8">
            <w:pPr>
              <w:contextualSpacing/>
              <w:rPr>
                <w:rFonts w:cstheme="minorHAnsi"/>
              </w:rPr>
            </w:pPr>
          </w:p>
        </w:tc>
        <w:tc>
          <w:tcPr>
            <w:tcW w:w="2207" w:type="dxa"/>
            <w:vAlign w:val="center"/>
          </w:tcPr>
          <w:p w14:paraId="7655ADAA" w14:textId="77777777" w:rsidR="00154BB8" w:rsidRPr="009F5CCD" w:rsidRDefault="00154BB8">
            <w:pPr>
              <w:contextualSpacing/>
              <w:rPr>
                <w:rFonts w:cstheme="minorHAnsi"/>
              </w:rPr>
            </w:pPr>
          </w:p>
        </w:tc>
      </w:tr>
      <w:tr w:rsidR="007A1085" w:rsidRPr="00763827" w14:paraId="13D3765B" w14:textId="77777777" w:rsidTr="00E4775A">
        <w:trPr>
          <w:cantSplit/>
          <w:trHeight w:val="331"/>
          <w:jc w:val="center"/>
        </w:trPr>
        <w:tc>
          <w:tcPr>
            <w:tcW w:w="864" w:type="dxa"/>
            <w:vAlign w:val="center"/>
          </w:tcPr>
          <w:p w14:paraId="2CE9F0EA" w14:textId="045908FE" w:rsidR="007A1085" w:rsidRDefault="00F629C4" w:rsidP="007A1085">
            <w:pPr>
              <w:contextualSpacing/>
              <w:jc w:val="center"/>
              <w:rPr>
                <w:rFonts w:cstheme="minorHAnsi"/>
                <w:b/>
              </w:rPr>
            </w:pPr>
            <w:r>
              <w:rPr>
                <w:rFonts w:cstheme="minorHAnsi"/>
                <w:b/>
              </w:rPr>
              <w:t>5</w:t>
            </w:r>
          </w:p>
        </w:tc>
        <w:tc>
          <w:tcPr>
            <w:tcW w:w="5500" w:type="dxa"/>
            <w:vAlign w:val="center"/>
          </w:tcPr>
          <w:p w14:paraId="25CC0DBC" w14:textId="33CC08D5" w:rsidR="007A1085" w:rsidRDefault="009114C0" w:rsidP="00872384">
            <w:pPr>
              <w:contextualSpacing/>
              <w:jc w:val="both"/>
              <w:rPr>
                <w:rFonts w:cstheme="minorHAnsi"/>
              </w:rPr>
            </w:pPr>
            <w:r>
              <w:rPr>
                <w:rFonts w:cstheme="minorHAnsi"/>
              </w:rPr>
              <w:t xml:space="preserve">- </w:t>
            </w:r>
            <w:r w:rsidRPr="009114C0">
              <w:rPr>
                <w:rFonts w:cstheme="minorHAnsi"/>
              </w:rPr>
              <w:t>poskytuje záložní napájení, když je systém odpojen od elektrické sítě</w:t>
            </w:r>
            <w:r>
              <w:rPr>
                <w:rFonts w:cstheme="minorHAnsi"/>
              </w:rPr>
              <w:t>.</w:t>
            </w:r>
          </w:p>
        </w:tc>
        <w:tc>
          <w:tcPr>
            <w:tcW w:w="1276" w:type="dxa"/>
            <w:vAlign w:val="center"/>
          </w:tcPr>
          <w:p w14:paraId="2037BF23" w14:textId="77777777" w:rsidR="007A1085" w:rsidRPr="009F5CCD" w:rsidRDefault="007A1085" w:rsidP="007A1085">
            <w:pPr>
              <w:contextualSpacing/>
              <w:rPr>
                <w:rFonts w:cstheme="minorHAnsi"/>
              </w:rPr>
            </w:pPr>
          </w:p>
        </w:tc>
        <w:tc>
          <w:tcPr>
            <w:tcW w:w="2207" w:type="dxa"/>
            <w:vAlign w:val="center"/>
          </w:tcPr>
          <w:p w14:paraId="15AC7364" w14:textId="77777777" w:rsidR="007A1085" w:rsidRPr="009F5CCD" w:rsidRDefault="007A1085" w:rsidP="007A1085">
            <w:pPr>
              <w:contextualSpacing/>
              <w:rPr>
                <w:rFonts w:cstheme="minorHAnsi"/>
              </w:rPr>
            </w:pPr>
          </w:p>
        </w:tc>
      </w:tr>
      <w:tr w:rsidR="00984548" w:rsidRPr="00763827" w14:paraId="42136F56" w14:textId="77777777">
        <w:trPr>
          <w:cantSplit/>
          <w:trHeight w:val="331"/>
          <w:jc w:val="center"/>
        </w:trPr>
        <w:tc>
          <w:tcPr>
            <w:tcW w:w="9847" w:type="dxa"/>
            <w:gridSpan w:val="4"/>
            <w:shd w:val="clear" w:color="auto" w:fill="C6D9F1" w:themeFill="text2" w:themeFillTint="33"/>
            <w:vAlign w:val="center"/>
          </w:tcPr>
          <w:p w14:paraId="6B6CA56E" w14:textId="6330734D" w:rsidR="00984548" w:rsidRPr="009F5CCD" w:rsidRDefault="009114C0">
            <w:pPr>
              <w:contextualSpacing/>
              <w:rPr>
                <w:rFonts w:cstheme="minorHAnsi"/>
              </w:rPr>
            </w:pPr>
            <w:bookmarkStart w:id="0" w:name="_Hlk177029477"/>
            <w:r>
              <w:rPr>
                <w:rFonts w:cstheme="minorHAnsi"/>
                <w:b/>
                <w:bCs/>
              </w:rPr>
              <w:t>Princip fungování</w:t>
            </w:r>
          </w:p>
        </w:tc>
      </w:tr>
      <w:bookmarkEnd w:id="0"/>
      <w:tr w:rsidR="0021272B" w:rsidRPr="00763827" w14:paraId="0AF7FE5D" w14:textId="77777777" w:rsidTr="00E4775A">
        <w:trPr>
          <w:cantSplit/>
          <w:trHeight w:val="331"/>
          <w:jc w:val="center"/>
        </w:trPr>
        <w:tc>
          <w:tcPr>
            <w:tcW w:w="864" w:type="dxa"/>
            <w:vAlign w:val="center"/>
          </w:tcPr>
          <w:p w14:paraId="0AB8D8A6" w14:textId="236CCA23" w:rsidR="0021272B" w:rsidRPr="00763827" w:rsidRDefault="00F629C4" w:rsidP="0021272B">
            <w:pPr>
              <w:contextualSpacing/>
              <w:jc w:val="center"/>
              <w:rPr>
                <w:rFonts w:cstheme="minorHAnsi"/>
                <w:b/>
              </w:rPr>
            </w:pPr>
            <w:r>
              <w:rPr>
                <w:rFonts w:cstheme="minorHAnsi"/>
                <w:b/>
              </w:rPr>
              <w:t>6</w:t>
            </w:r>
          </w:p>
        </w:tc>
        <w:tc>
          <w:tcPr>
            <w:tcW w:w="5500" w:type="dxa"/>
          </w:tcPr>
          <w:p w14:paraId="705C0EC6" w14:textId="6B919B1A" w:rsidR="006F7F6A" w:rsidRPr="006533CF" w:rsidRDefault="009114C0" w:rsidP="009C7D53">
            <w:pPr>
              <w:contextualSpacing/>
              <w:jc w:val="both"/>
            </w:pPr>
            <w:r w:rsidRPr="009114C0">
              <w:t xml:space="preserve">Krátkodobá </w:t>
            </w:r>
            <w:proofErr w:type="spellStart"/>
            <w:r w:rsidRPr="009114C0">
              <w:t>mikroaxilární</w:t>
            </w:r>
            <w:proofErr w:type="spellEnd"/>
            <w:r w:rsidRPr="009114C0">
              <w:t xml:space="preserve"> </w:t>
            </w:r>
            <w:proofErr w:type="spellStart"/>
            <w:r w:rsidRPr="009114C0">
              <w:t>intrakardiální</w:t>
            </w:r>
            <w:proofErr w:type="spellEnd"/>
            <w:r w:rsidRPr="009114C0">
              <w:t xml:space="preserve"> katétrová mechanická srdeční podpora, která přečerpává krev z levé srdeční komory do aorty - </w:t>
            </w:r>
            <w:proofErr w:type="spellStart"/>
            <w:r w:rsidRPr="009114C0">
              <w:t>transaortálně</w:t>
            </w:r>
            <w:proofErr w:type="spellEnd"/>
            <w:r w:rsidRPr="009114C0">
              <w:t xml:space="preserve"> s maximálním středním průtokem 3.7</w:t>
            </w:r>
            <w:r w:rsidR="00B959B6">
              <w:t>l</w:t>
            </w:r>
            <w:r w:rsidRPr="009114C0">
              <w:t>/min. (se špičkovým průtokem při systole až do 4.3</w:t>
            </w:r>
            <w:r w:rsidR="00B959B6">
              <w:t>l</w:t>
            </w:r>
            <w:r w:rsidRPr="009114C0">
              <w:t>/aorty</w:t>
            </w:r>
            <w:r w:rsidR="00A20ABD">
              <w:t>) při</w:t>
            </w:r>
            <w:r w:rsidR="00410B2D">
              <w:t xml:space="preserve"> </w:t>
            </w:r>
            <w:r w:rsidRPr="009114C0">
              <w:t xml:space="preserve">maximálním počtu otáček </w:t>
            </w:r>
            <w:r w:rsidR="0092542B">
              <w:br/>
            </w:r>
            <w:r w:rsidRPr="009114C0">
              <w:t xml:space="preserve">46 000 </w:t>
            </w:r>
            <w:proofErr w:type="spellStart"/>
            <w:r w:rsidRPr="009114C0">
              <w:t>ot</w:t>
            </w:r>
            <w:proofErr w:type="spellEnd"/>
            <w:r w:rsidRPr="009114C0">
              <w:t xml:space="preserve">/min. Změnu otáček je možno provádět pomocí uživatelského rozhraní automatizované řídící jednotky AIC </w:t>
            </w:r>
            <w:r>
              <w:br/>
            </w:r>
            <w:r w:rsidRPr="009114C0">
              <w:t>a to v automatickém nebo manuálním režimu po krocích.</w:t>
            </w:r>
            <w:r w:rsidR="009C7D53">
              <w:t xml:space="preserve"> </w:t>
            </w:r>
          </w:p>
        </w:tc>
        <w:tc>
          <w:tcPr>
            <w:tcW w:w="1276" w:type="dxa"/>
            <w:vAlign w:val="center"/>
          </w:tcPr>
          <w:p w14:paraId="16AFC428" w14:textId="77777777" w:rsidR="0021272B" w:rsidRPr="009F5CCD" w:rsidRDefault="0021272B" w:rsidP="0021272B">
            <w:pPr>
              <w:contextualSpacing/>
              <w:rPr>
                <w:rFonts w:cstheme="minorHAnsi"/>
              </w:rPr>
            </w:pPr>
          </w:p>
        </w:tc>
        <w:tc>
          <w:tcPr>
            <w:tcW w:w="2207" w:type="dxa"/>
            <w:vAlign w:val="center"/>
          </w:tcPr>
          <w:p w14:paraId="700500AE" w14:textId="77777777" w:rsidR="0021272B" w:rsidRPr="009F5CCD" w:rsidRDefault="0021272B" w:rsidP="0021272B">
            <w:pPr>
              <w:contextualSpacing/>
              <w:rPr>
                <w:rFonts w:cstheme="minorHAnsi"/>
              </w:rPr>
            </w:pPr>
          </w:p>
        </w:tc>
      </w:tr>
      <w:tr w:rsidR="006D1155" w:rsidRPr="00763827" w14:paraId="27499F47" w14:textId="77777777">
        <w:trPr>
          <w:cantSplit/>
          <w:trHeight w:val="331"/>
          <w:jc w:val="center"/>
        </w:trPr>
        <w:tc>
          <w:tcPr>
            <w:tcW w:w="9847" w:type="dxa"/>
            <w:gridSpan w:val="4"/>
            <w:shd w:val="clear" w:color="auto" w:fill="C6D9F1" w:themeFill="text2" w:themeFillTint="33"/>
            <w:vAlign w:val="center"/>
          </w:tcPr>
          <w:p w14:paraId="28BE4AD5" w14:textId="21C023F7" w:rsidR="006D1155" w:rsidRPr="009114C0" w:rsidRDefault="009114C0">
            <w:pPr>
              <w:contextualSpacing/>
              <w:rPr>
                <w:rFonts w:cstheme="minorHAnsi"/>
                <w:b/>
                <w:bCs/>
              </w:rPr>
            </w:pPr>
            <w:bookmarkStart w:id="1" w:name="_Hlk214443175"/>
            <w:r w:rsidRPr="009114C0">
              <w:rPr>
                <w:rFonts w:cstheme="minorHAnsi"/>
                <w:b/>
                <w:bCs/>
              </w:rPr>
              <w:t xml:space="preserve">Mechanická </w:t>
            </w:r>
            <w:r w:rsidR="000725B9">
              <w:rPr>
                <w:rFonts w:cstheme="minorHAnsi"/>
                <w:b/>
                <w:bCs/>
              </w:rPr>
              <w:t>srdeční podpora</w:t>
            </w:r>
          </w:p>
        </w:tc>
      </w:tr>
      <w:bookmarkEnd w:id="1"/>
      <w:tr w:rsidR="0021272B" w:rsidRPr="00763827" w14:paraId="6E014668" w14:textId="77777777" w:rsidTr="00E4775A">
        <w:trPr>
          <w:cantSplit/>
          <w:trHeight w:val="331"/>
          <w:jc w:val="center"/>
        </w:trPr>
        <w:tc>
          <w:tcPr>
            <w:tcW w:w="864" w:type="dxa"/>
            <w:vAlign w:val="center"/>
          </w:tcPr>
          <w:p w14:paraId="39F5FCCF" w14:textId="7692599C" w:rsidR="0021272B" w:rsidRDefault="00F629C4" w:rsidP="0021272B">
            <w:pPr>
              <w:contextualSpacing/>
              <w:jc w:val="center"/>
              <w:rPr>
                <w:rFonts w:cstheme="minorHAnsi"/>
                <w:b/>
                <w:bCs/>
              </w:rPr>
            </w:pPr>
            <w:r>
              <w:rPr>
                <w:rFonts w:cstheme="minorHAnsi"/>
                <w:b/>
                <w:bCs/>
              </w:rPr>
              <w:t>7</w:t>
            </w:r>
          </w:p>
        </w:tc>
        <w:tc>
          <w:tcPr>
            <w:tcW w:w="5500" w:type="dxa"/>
          </w:tcPr>
          <w:p w14:paraId="2CF0608D" w14:textId="2660E69B" w:rsidR="0021272B" w:rsidRDefault="00EB6756" w:rsidP="00B27173">
            <w:pPr>
              <w:contextualSpacing/>
              <w:jc w:val="both"/>
              <w:rPr>
                <w:rFonts w:cstheme="minorHAnsi"/>
              </w:rPr>
            </w:pPr>
            <w:r w:rsidRPr="00EB6756">
              <w:rPr>
                <w:rFonts w:cstheme="minorHAnsi"/>
                <w:bCs/>
              </w:rPr>
              <w:t xml:space="preserve">Certifikace pro zavádění přes </w:t>
            </w:r>
            <w:r w:rsidRPr="00EB6756">
              <w:rPr>
                <w:rFonts w:cstheme="minorHAnsi"/>
                <w:bCs/>
                <w:i/>
                <w:iCs/>
              </w:rPr>
              <w:t xml:space="preserve">a. </w:t>
            </w:r>
            <w:proofErr w:type="spellStart"/>
            <w:r w:rsidRPr="00EB6756">
              <w:rPr>
                <w:rFonts w:cstheme="minorHAnsi"/>
                <w:bCs/>
                <w:i/>
                <w:iCs/>
              </w:rPr>
              <w:t>femoralis</w:t>
            </w:r>
            <w:proofErr w:type="spellEnd"/>
            <w:r w:rsidRPr="00EB6756">
              <w:rPr>
                <w:rFonts w:cstheme="minorHAnsi"/>
                <w:bCs/>
              </w:rPr>
              <w:t xml:space="preserve"> perkutánním přístupem nebo přes </w:t>
            </w:r>
            <w:r w:rsidRPr="00EB6756">
              <w:rPr>
                <w:rFonts w:cstheme="minorHAnsi"/>
                <w:bCs/>
                <w:i/>
                <w:iCs/>
              </w:rPr>
              <w:t xml:space="preserve">a. </w:t>
            </w:r>
            <w:proofErr w:type="spellStart"/>
            <w:r w:rsidRPr="00EB6756">
              <w:rPr>
                <w:rFonts w:cstheme="minorHAnsi"/>
                <w:bCs/>
                <w:i/>
                <w:iCs/>
              </w:rPr>
              <w:t>axillaris</w:t>
            </w:r>
            <w:proofErr w:type="spellEnd"/>
            <w:r w:rsidRPr="00EB6756">
              <w:rPr>
                <w:rFonts w:cstheme="minorHAnsi"/>
                <w:bCs/>
              </w:rPr>
              <w:t xml:space="preserve"> chirurgickým přístupem</w:t>
            </w:r>
          </w:p>
        </w:tc>
        <w:tc>
          <w:tcPr>
            <w:tcW w:w="1276" w:type="dxa"/>
            <w:vAlign w:val="center"/>
          </w:tcPr>
          <w:p w14:paraId="1CB4C26A" w14:textId="77777777" w:rsidR="0021272B" w:rsidRPr="009F5CCD" w:rsidRDefault="0021272B" w:rsidP="0021272B">
            <w:pPr>
              <w:contextualSpacing/>
              <w:rPr>
                <w:rFonts w:cstheme="minorHAnsi"/>
              </w:rPr>
            </w:pPr>
          </w:p>
        </w:tc>
        <w:tc>
          <w:tcPr>
            <w:tcW w:w="2207" w:type="dxa"/>
            <w:vAlign w:val="center"/>
          </w:tcPr>
          <w:p w14:paraId="5D931108" w14:textId="77777777" w:rsidR="0021272B" w:rsidRPr="009F5CCD" w:rsidRDefault="0021272B" w:rsidP="0021272B">
            <w:pPr>
              <w:contextualSpacing/>
              <w:rPr>
                <w:rFonts w:cstheme="minorHAnsi"/>
              </w:rPr>
            </w:pPr>
          </w:p>
        </w:tc>
      </w:tr>
      <w:tr w:rsidR="001C01D2" w:rsidRPr="00763827" w14:paraId="37ED41CD" w14:textId="77777777" w:rsidTr="00E4775A">
        <w:trPr>
          <w:cantSplit/>
          <w:trHeight w:val="331"/>
          <w:jc w:val="center"/>
        </w:trPr>
        <w:tc>
          <w:tcPr>
            <w:tcW w:w="864" w:type="dxa"/>
            <w:vAlign w:val="center"/>
          </w:tcPr>
          <w:p w14:paraId="3293249F" w14:textId="68C0CA04" w:rsidR="001C01D2" w:rsidRDefault="00F629C4" w:rsidP="0021272B">
            <w:pPr>
              <w:contextualSpacing/>
              <w:jc w:val="center"/>
              <w:rPr>
                <w:rFonts w:cstheme="minorHAnsi"/>
                <w:b/>
                <w:bCs/>
              </w:rPr>
            </w:pPr>
            <w:r>
              <w:rPr>
                <w:rFonts w:cstheme="minorHAnsi"/>
                <w:b/>
                <w:bCs/>
              </w:rPr>
              <w:t>8</w:t>
            </w:r>
          </w:p>
        </w:tc>
        <w:tc>
          <w:tcPr>
            <w:tcW w:w="5500" w:type="dxa"/>
          </w:tcPr>
          <w:p w14:paraId="51F0C6D8" w14:textId="4554F666" w:rsidR="001C01D2" w:rsidRPr="00270F31" w:rsidRDefault="00874622" w:rsidP="00B27173">
            <w:pPr>
              <w:contextualSpacing/>
              <w:jc w:val="both"/>
              <w:rPr>
                <w:rFonts w:cstheme="minorHAnsi"/>
                <w:bCs/>
              </w:rPr>
            </w:pPr>
            <w:r>
              <w:rPr>
                <w:rFonts w:cstheme="minorHAnsi"/>
                <w:bCs/>
              </w:rPr>
              <w:t>Z</w:t>
            </w:r>
            <w:r w:rsidR="00270F31" w:rsidRPr="00270F31">
              <w:rPr>
                <w:rFonts w:cstheme="minorHAnsi"/>
                <w:bCs/>
              </w:rPr>
              <w:t>avaděč o diametru 14F s volbou délky 13</w:t>
            </w:r>
            <w:r w:rsidR="00270F31">
              <w:rPr>
                <w:rFonts w:cstheme="minorHAnsi"/>
                <w:bCs/>
              </w:rPr>
              <w:t xml:space="preserve"> </w:t>
            </w:r>
            <w:r w:rsidR="00270F31" w:rsidRPr="00270F31">
              <w:rPr>
                <w:rFonts w:cstheme="minorHAnsi"/>
                <w:bCs/>
              </w:rPr>
              <w:t>cm a 25</w:t>
            </w:r>
            <w:r w:rsidR="00270F31">
              <w:rPr>
                <w:rFonts w:cstheme="minorHAnsi"/>
                <w:bCs/>
              </w:rPr>
              <w:t xml:space="preserve"> </w:t>
            </w:r>
            <w:r w:rsidR="00270F31" w:rsidRPr="00270F31">
              <w:rPr>
                <w:rFonts w:cstheme="minorHAnsi"/>
                <w:bCs/>
              </w:rPr>
              <w:t>cm</w:t>
            </w:r>
          </w:p>
        </w:tc>
        <w:tc>
          <w:tcPr>
            <w:tcW w:w="1276" w:type="dxa"/>
            <w:vAlign w:val="center"/>
          </w:tcPr>
          <w:p w14:paraId="1D093991" w14:textId="77777777" w:rsidR="001C01D2" w:rsidRPr="009F5CCD" w:rsidRDefault="001C01D2" w:rsidP="0021272B">
            <w:pPr>
              <w:contextualSpacing/>
              <w:rPr>
                <w:rFonts w:cstheme="minorHAnsi"/>
              </w:rPr>
            </w:pPr>
          </w:p>
        </w:tc>
        <w:tc>
          <w:tcPr>
            <w:tcW w:w="2207" w:type="dxa"/>
            <w:vAlign w:val="center"/>
          </w:tcPr>
          <w:p w14:paraId="05F23523" w14:textId="77777777" w:rsidR="001C01D2" w:rsidRPr="009F5CCD" w:rsidRDefault="001C01D2" w:rsidP="0021272B">
            <w:pPr>
              <w:contextualSpacing/>
              <w:rPr>
                <w:rFonts w:cstheme="minorHAnsi"/>
              </w:rPr>
            </w:pPr>
          </w:p>
        </w:tc>
      </w:tr>
      <w:tr w:rsidR="001C01D2" w:rsidRPr="00763827" w14:paraId="14DF9C4C" w14:textId="77777777" w:rsidTr="00E4775A">
        <w:trPr>
          <w:cantSplit/>
          <w:trHeight w:val="331"/>
          <w:jc w:val="center"/>
        </w:trPr>
        <w:tc>
          <w:tcPr>
            <w:tcW w:w="864" w:type="dxa"/>
            <w:vAlign w:val="center"/>
          </w:tcPr>
          <w:p w14:paraId="3F7C30D4" w14:textId="399E83A2" w:rsidR="001C01D2" w:rsidRDefault="00F629C4" w:rsidP="0021272B">
            <w:pPr>
              <w:contextualSpacing/>
              <w:jc w:val="center"/>
              <w:rPr>
                <w:rFonts w:cstheme="minorHAnsi"/>
                <w:b/>
                <w:bCs/>
              </w:rPr>
            </w:pPr>
            <w:r>
              <w:rPr>
                <w:rFonts w:cstheme="minorHAnsi"/>
                <w:b/>
                <w:bCs/>
              </w:rPr>
              <w:t>9</w:t>
            </w:r>
          </w:p>
        </w:tc>
        <w:tc>
          <w:tcPr>
            <w:tcW w:w="5500" w:type="dxa"/>
          </w:tcPr>
          <w:p w14:paraId="1A6A026B" w14:textId="79FE085C" w:rsidR="001C01D2" w:rsidRPr="009114C0" w:rsidRDefault="006F0E4C" w:rsidP="00B27173">
            <w:pPr>
              <w:contextualSpacing/>
              <w:jc w:val="both"/>
              <w:rPr>
                <w:rFonts w:cstheme="minorHAnsi"/>
              </w:rPr>
            </w:pPr>
            <w:r w:rsidRPr="006F0E4C">
              <w:rPr>
                <w:rFonts w:cstheme="minorHAnsi"/>
                <w:bCs/>
              </w:rPr>
              <w:t>Možnost intervence přes jeden společný vstup</w:t>
            </w:r>
          </w:p>
        </w:tc>
        <w:tc>
          <w:tcPr>
            <w:tcW w:w="1276" w:type="dxa"/>
            <w:vAlign w:val="center"/>
          </w:tcPr>
          <w:p w14:paraId="6FEB8EB2" w14:textId="77777777" w:rsidR="001C01D2" w:rsidRPr="009F5CCD" w:rsidRDefault="001C01D2" w:rsidP="0021272B">
            <w:pPr>
              <w:contextualSpacing/>
              <w:rPr>
                <w:rFonts w:cstheme="minorHAnsi"/>
              </w:rPr>
            </w:pPr>
          </w:p>
        </w:tc>
        <w:tc>
          <w:tcPr>
            <w:tcW w:w="2207" w:type="dxa"/>
            <w:vAlign w:val="center"/>
          </w:tcPr>
          <w:p w14:paraId="3ACE3BF9" w14:textId="77777777" w:rsidR="001C01D2" w:rsidRPr="009F5CCD" w:rsidRDefault="001C01D2" w:rsidP="0021272B">
            <w:pPr>
              <w:contextualSpacing/>
              <w:rPr>
                <w:rFonts w:cstheme="minorHAnsi"/>
              </w:rPr>
            </w:pPr>
          </w:p>
        </w:tc>
      </w:tr>
      <w:tr w:rsidR="001C01D2" w:rsidRPr="00763827" w14:paraId="3391594B" w14:textId="77777777" w:rsidTr="00E4775A">
        <w:trPr>
          <w:cantSplit/>
          <w:trHeight w:val="331"/>
          <w:jc w:val="center"/>
        </w:trPr>
        <w:tc>
          <w:tcPr>
            <w:tcW w:w="864" w:type="dxa"/>
            <w:vAlign w:val="center"/>
          </w:tcPr>
          <w:p w14:paraId="34BE86CB" w14:textId="071589FD" w:rsidR="001C01D2" w:rsidRDefault="00F629C4" w:rsidP="0021272B">
            <w:pPr>
              <w:contextualSpacing/>
              <w:jc w:val="center"/>
              <w:rPr>
                <w:rFonts w:cstheme="minorHAnsi"/>
                <w:b/>
                <w:bCs/>
              </w:rPr>
            </w:pPr>
            <w:r>
              <w:rPr>
                <w:rFonts w:cstheme="minorHAnsi"/>
                <w:b/>
                <w:bCs/>
              </w:rPr>
              <w:t>10</w:t>
            </w:r>
          </w:p>
        </w:tc>
        <w:tc>
          <w:tcPr>
            <w:tcW w:w="5500" w:type="dxa"/>
          </w:tcPr>
          <w:p w14:paraId="0C45E042" w14:textId="1BC62556" w:rsidR="001C01D2" w:rsidRPr="009114C0" w:rsidRDefault="00FB0A4B" w:rsidP="00B27173">
            <w:pPr>
              <w:contextualSpacing/>
              <w:jc w:val="both"/>
              <w:rPr>
                <w:rFonts w:cstheme="minorHAnsi"/>
              </w:rPr>
            </w:pPr>
            <w:r w:rsidRPr="00FB0A4B">
              <w:rPr>
                <w:rFonts w:cstheme="minorHAnsi"/>
                <w:bCs/>
              </w:rPr>
              <w:t>Pracovní délka katetru v rozmezí 92-98 cm</w:t>
            </w:r>
          </w:p>
        </w:tc>
        <w:tc>
          <w:tcPr>
            <w:tcW w:w="1276" w:type="dxa"/>
            <w:vAlign w:val="center"/>
          </w:tcPr>
          <w:p w14:paraId="6FB8F487" w14:textId="77777777" w:rsidR="001C01D2" w:rsidRPr="009F5CCD" w:rsidRDefault="001C01D2" w:rsidP="0021272B">
            <w:pPr>
              <w:contextualSpacing/>
              <w:rPr>
                <w:rFonts w:cstheme="minorHAnsi"/>
              </w:rPr>
            </w:pPr>
          </w:p>
        </w:tc>
        <w:tc>
          <w:tcPr>
            <w:tcW w:w="2207" w:type="dxa"/>
            <w:vAlign w:val="center"/>
          </w:tcPr>
          <w:p w14:paraId="2589D3DC" w14:textId="77777777" w:rsidR="001C01D2" w:rsidRPr="009F5CCD" w:rsidRDefault="001C01D2" w:rsidP="0021272B">
            <w:pPr>
              <w:contextualSpacing/>
              <w:rPr>
                <w:rFonts w:cstheme="minorHAnsi"/>
              </w:rPr>
            </w:pPr>
          </w:p>
        </w:tc>
      </w:tr>
      <w:tr w:rsidR="001C01D2" w:rsidRPr="00763827" w14:paraId="2167B750" w14:textId="77777777" w:rsidTr="00E4775A">
        <w:trPr>
          <w:cantSplit/>
          <w:trHeight w:val="331"/>
          <w:jc w:val="center"/>
        </w:trPr>
        <w:tc>
          <w:tcPr>
            <w:tcW w:w="864" w:type="dxa"/>
            <w:vAlign w:val="center"/>
          </w:tcPr>
          <w:p w14:paraId="309066C2" w14:textId="2AA6DAFC" w:rsidR="001C01D2" w:rsidRDefault="00EE1A47" w:rsidP="0021272B">
            <w:pPr>
              <w:contextualSpacing/>
              <w:jc w:val="center"/>
              <w:rPr>
                <w:rFonts w:cstheme="minorHAnsi"/>
                <w:b/>
                <w:bCs/>
              </w:rPr>
            </w:pPr>
            <w:r>
              <w:rPr>
                <w:rFonts w:cstheme="minorHAnsi"/>
                <w:b/>
                <w:bCs/>
              </w:rPr>
              <w:t>1</w:t>
            </w:r>
            <w:r w:rsidR="00F629C4">
              <w:rPr>
                <w:rFonts w:cstheme="minorHAnsi"/>
                <w:b/>
                <w:bCs/>
              </w:rPr>
              <w:t>1</w:t>
            </w:r>
          </w:p>
        </w:tc>
        <w:tc>
          <w:tcPr>
            <w:tcW w:w="5500" w:type="dxa"/>
          </w:tcPr>
          <w:p w14:paraId="2EC2E2B7" w14:textId="1AC9E099" w:rsidR="001C01D2" w:rsidRPr="009114C0" w:rsidRDefault="00DB1FA9" w:rsidP="00B27173">
            <w:pPr>
              <w:contextualSpacing/>
              <w:jc w:val="both"/>
              <w:rPr>
                <w:rFonts w:cstheme="minorHAnsi"/>
              </w:rPr>
            </w:pPr>
            <w:r w:rsidRPr="00DB1FA9">
              <w:rPr>
                <w:rFonts w:cstheme="minorHAnsi"/>
                <w:bCs/>
              </w:rPr>
              <w:t>Integrovaná repoziční jednotka</w:t>
            </w:r>
          </w:p>
        </w:tc>
        <w:tc>
          <w:tcPr>
            <w:tcW w:w="1276" w:type="dxa"/>
            <w:vAlign w:val="center"/>
          </w:tcPr>
          <w:p w14:paraId="05804FD7" w14:textId="77777777" w:rsidR="001C01D2" w:rsidRPr="009F5CCD" w:rsidRDefault="001C01D2" w:rsidP="0021272B">
            <w:pPr>
              <w:contextualSpacing/>
              <w:rPr>
                <w:rFonts w:cstheme="minorHAnsi"/>
              </w:rPr>
            </w:pPr>
          </w:p>
        </w:tc>
        <w:tc>
          <w:tcPr>
            <w:tcW w:w="2207" w:type="dxa"/>
            <w:vAlign w:val="center"/>
          </w:tcPr>
          <w:p w14:paraId="268397EA" w14:textId="77777777" w:rsidR="001C01D2" w:rsidRPr="009F5CCD" w:rsidRDefault="001C01D2" w:rsidP="0021272B">
            <w:pPr>
              <w:contextualSpacing/>
              <w:rPr>
                <w:rFonts w:cstheme="minorHAnsi"/>
              </w:rPr>
            </w:pPr>
          </w:p>
        </w:tc>
      </w:tr>
      <w:tr w:rsidR="001C01D2" w:rsidRPr="00763827" w14:paraId="27D237E3" w14:textId="77777777" w:rsidTr="00E4775A">
        <w:trPr>
          <w:cantSplit/>
          <w:trHeight w:val="331"/>
          <w:jc w:val="center"/>
        </w:trPr>
        <w:tc>
          <w:tcPr>
            <w:tcW w:w="864" w:type="dxa"/>
            <w:vAlign w:val="center"/>
          </w:tcPr>
          <w:p w14:paraId="3D2A0A4A" w14:textId="51FF17CA" w:rsidR="001C01D2" w:rsidRDefault="00EE1A47" w:rsidP="0021272B">
            <w:pPr>
              <w:contextualSpacing/>
              <w:jc w:val="center"/>
              <w:rPr>
                <w:rFonts w:cstheme="minorHAnsi"/>
                <w:b/>
                <w:bCs/>
              </w:rPr>
            </w:pPr>
            <w:r>
              <w:rPr>
                <w:rFonts w:cstheme="minorHAnsi"/>
                <w:b/>
                <w:bCs/>
              </w:rPr>
              <w:t>1</w:t>
            </w:r>
            <w:r w:rsidR="00F629C4">
              <w:rPr>
                <w:rFonts w:cstheme="minorHAnsi"/>
                <w:b/>
                <w:bCs/>
              </w:rPr>
              <w:t>2</w:t>
            </w:r>
          </w:p>
        </w:tc>
        <w:tc>
          <w:tcPr>
            <w:tcW w:w="5500" w:type="dxa"/>
          </w:tcPr>
          <w:p w14:paraId="10D98F47" w14:textId="250DE7D7" w:rsidR="001C01D2" w:rsidRPr="009114C0" w:rsidRDefault="005F506E" w:rsidP="00B27173">
            <w:pPr>
              <w:contextualSpacing/>
              <w:jc w:val="both"/>
              <w:rPr>
                <w:rFonts w:cstheme="minorHAnsi"/>
              </w:rPr>
            </w:pPr>
            <w:r w:rsidRPr="005F506E">
              <w:rPr>
                <w:rFonts w:cstheme="minorHAnsi"/>
                <w:bCs/>
              </w:rPr>
              <w:t xml:space="preserve">Možnost zavedení vodiče do repoziční jednotky až do velikosti 0.035" </w:t>
            </w:r>
          </w:p>
        </w:tc>
        <w:tc>
          <w:tcPr>
            <w:tcW w:w="1276" w:type="dxa"/>
            <w:vAlign w:val="center"/>
          </w:tcPr>
          <w:p w14:paraId="055A5AD5" w14:textId="77777777" w:rsidR="001C01D2" w:rsidRPr="009F5CCD" w:rsidRDefault="001C01D2" w:rsidP="0021272B">
            <w:pPr>
              <w:contextualSpacing/>
              <w:rPr>
                <w:rFonts w:cstheme="minorHAnsi"/>
              </w:rPr>
            </w:pPr>
          </w:p>
        </w:tc>
        <w:tc>
          <w:tcPr>
            <w:tcW w:w="2207" w:type="dxa"/>
            <w:vAlign w:val="center"/>
          </w:tcPr>
          <w:p w14:paraId="765B4E27" w14:textId="77777777" w:rsidR="001C01D2" w:rsidRPr="009F5CCD" w:rsidRDefault="001C01D2" w:rsidP="0021272B">
            <w:pPr>
              <w:contextualSpacing/>
              <w:rPr>
                <w:rFonts w:cstheme="minorHAnsi"/>
              </w:rPr>
            </w:pPr>
          </w:p>
        </w:tc>
      </w:tr>
      <w:tr w:rsidR="001C01D2" w:rsidRPr="00763827" w14:paraId="5E51903F" w14:textId="77777777" w:rsidTr="00E4775A">
        <w:trPr>
          <w:cantSplit/>
          <w:trHeight w:val="331"/>
          <w:jc w:val="center"/>
        </w:trPr>
        <w:tc>
          <w:tcPr>
            <w:tcW w:w="864" w:type="dxa"/>
            <w:vAlign w:val="center"/>
          </w:tcPr>
          <w:p w14:paraId="38850514" w14:textId="423584FF" w:rsidR="001C01D2" w:rsidRDefault="00EE1A47" w:rsidP="0021272B">
            <w:pPr>
              <w:contextualSpacing/>
              <w:jc w:val="center"/>
              <w:rPr>
                <w:rFonts w:cstheme="minorHAnsi"/>
                <w:b/>
                <w:bCs/>
              </w:rPr>
            </w:pPr>
            <w:r>
              <w:rPr>
                <w:rFonts w:cstheme="minorHAnsi"/>
                <w:b/>
                <w:bCs/>
              </w:rPr>
              <w:t>1</w:t>
            </w:r>
            <w:r w:rsidR="00F629C4">
              <w:rPr>
                <w:rFonts w:cstheme="minorHAnsi"/>
                <w:b/>
                <w:bCs/>
              </w:rPr>
              <w:t>3</w:t>
            </w:r>
          </w:p>
        </w:tc>
        <w:tc>
          <w:tcPr>
            <w:tcW w:w="5500" w:type="dxa"/>
          </w:tcPr>
          <w:p w14:paraId="6220A7EE" w14:textId="53437883" w:rsidR="001C01D2" w:rsidRPr="009114C0" w:rsidRDefault="005165BB" w:rsidP="00B27173">
            <w:pPr>
              <w:contextualSpacing/>
              <w:jc w:val="both"/>
              <w:rPr>
                <w:rFonts w:cstheme="minorHAnsi"/>
              </w:rPr>
            </w:pPr>
            <w:r w:rsidRPr="005165BB">
              <w:rPr>
                <w:rFonts w:cstheme="minorHAnsi"/>
                <w:bCs/>
              </w:rPr>
              <w:t>Změna otáček – automatický nebo manuální režim po krocích</w:t>
            </w:r>
          </w:p>
        </w:tc>
        <w:tc>
          <w:tcPr>
            <w:tcW w:w="1276" w:type="dxa"/>
            <w:vAlign w:val="center"/>
          </w:tcPr>
          <w:p w14:paraId="19D7433C" w14:textId="77777777" w:rsidR="001C01D2" w:rsidRPr="009F5CCD" w:rsidRDefault="001C01D2" w:rsidP="0021272B">
            <w:pPr>
              <w:contextualSpacing/>
              <w:rPr>
                <w:rFonts w:cstheme="minorHAnsi"/>
              </w:rPr>
            </w:pPr>
          </w:p>
        </w:tc>
        <w:tc>
          <w:tcPr>
            <w:tcW w:w="2207" w:type="dxa"/>
            <w:vAlign w:val="center"/>
          </w:tcPr>
          <w:p w14:paraId="723B0C3E" w14:textId="77777777" w:rsidR="001C01D2" w:rsidRPr="009F5CCD" w:rsidRDefault="001C01D2" w:rsidP="0021272B">
            <w:pPr>
              <w:contextualSpacing/>
              <w:rPr>
                <w:rFonts w:cstheme="minorHAnsi"/>
              </w:rPr>
            </w:pPr>
          </w:p>
        </w:tc>
      </w:tr>
      <w:tr w:rsidR="001C01D2" w:rsidRPr="00763827" w14:paraId="13A7F549" w14:textId="77777777" w:rsidTr="00AB1E94">
        <w:trPr>
          <w:cantSplit/>
          <w:trHeight w:val="331"/>
          <w:jc w:val="center"/>
        </w:trPr>
        <w:tc>
          <w:tcPr>
            <w:tcW w:w="864" w:type="dxa"/>
            <w:tcBorders>
              <w:bottom w:val="single" w:sz="8" w:space="0" w:color="auto"/>
            </w:tcBorders>
            <w:vAlign w:val="center"/>
          </w:tcPr>
          <w:p w14:paraId="5219F9F6" w14:textId="4009F27A" w:rsidR="001C01D2" w:rsidRDefault="00EE1A47" w:rsidP="0021272B">
            <w:pPr>
              <w:contextualSpacing/>
              <w:jc w:val="center"/>
              <w:rPr>
                <w:rFonts w:cstheme="minorHAnsi"/>
                <w:b/>
                <w:bCs/>
              </w:rPr>
            </w:pPr>
            <w:r>
              <w:rPr>
                <w:rFonts w:cstheme="minorHAnsi"/>
                <w:b/>
                <w:bCs/>
              </w:rPr>
              <w:t>1</w:t>
            </w:r>
            <w:r w:rsidR="00F629C4">
              <w:rPr>
                <w:rFonts w:cstheme="minorHAnsi"/>
                <w:b/>
                <w:bCs/>
              </w:rPr>
              <w:t>4</w:t>
            </w:r>
          </w:p>
        </w:tc>
        <w:tc>
          <w:tcPr>
            <w:tcW w:w="5500" w:type="dxa"/>
            <w:tcBorders>
              <w:bottom w:val="single" w:sz="8" w:space="0" w:color="auto"/>
            </w:tcBorders>
          </w:tcPr>
          <w:p w14:paraId="49972803" w14:textId="1F76C0B5" w:rsidR="001C01D2" w:rsidRPr="009114C0" w:rsidRDefault="00AC44B5" w:rsidP="00B27173">
            <w:pPr>
              <w:contextualSpacing/>
              <w:jc w:val="both"/>
              <w:rPr>
                <w:rFonts w:cstheme="minorHAnsi"/>
              </w:rPr>
            </w:pPr>
            <w:r w:rsidRPr="00AC44B5">
              <w:rPr>
                <w:rFonts w:cstheme="minorHAnsi"/>
                <w:bCs/>
              </w:rPr>
              <w:t>Střední průtok přečerpávání krve z levé srdeční komory do aorty 3,7 l/min.</w:t>
            </w:r>
          </w:p>
        </w:tc>
        <w:tc>
          <w:tcPr>
            <w:tcW w:w="1276" w:type="dxa"/>
            <w:tcBorders>
              <w:bottom w:val="single" w:sz="8" w:space="0" w:color="auto"/>
            </w:tcBorders>
            <w:vAlign w:val="center"/>
          </w:tcPr>
          <w:p w14:paraId="46E6C62B" w14:textId="77777777" w:rsidR="001C01D2" w:rsidRPr="009F5CCD" w:rsidRDefault="001C01D2" w:rsidP="0021272B">
            <w:pPr>
              <w:contextualSpacing/>
              <w:rPr>
                <w:rFonts w:cstheme="minorHAnsi"/>
              </w:rPr>
            </w:pPr>
          </w:p>
        </w:tc>
        <w:tc>
          <w:tcPr>
            <w:tcW w:w="2207" w:type="dxa"/>
            <w:tcBorders>
              <w:bottom w:val="single" w:sz="8" w:space="0" w:color="auto"/>
            </w:tcBorders>
            <w:vAlign w:val="center"/>
          </w:tcPr>
          <w:p w14:paraId="1E4D399D" w14:textId="77777777" w:rsidR="001C01D2" w:rsidRPr="009F5CCD" w:rsidRDefault="001C01D2" w:rsidP="0021272B">
            <w:pPr>
              <w:contextualSpacing/>
              <w:rPr>
                <w:rFonts w:cstheme="minorHAnsi"/>
              </w:rPr>
            </w:pPr>
          </w:p>
        </w:tc>
      </w:tr>
      <w:tr w:rsidR="007C111C" w:rsidRPr="00763827" w14:paraId="2A475F0A" w14:textId="77777777" w:rsidTr="00AB1E94">
        <w:trPr>
          <w:cantSplit/>
          <w:trHeight w:val="331"/>
          <w:jc w:val="center"/>
        </w:trPr>
        <w:tc>
          <w:tcPr>
            <w:tcW w:w="864" w:type="dxa"/>
            <w:tcBorders>
              <w:bottom w:val="single" w:sz="8" w:space="0" w:color="auto"/>
            </w:tcBorders>
            <w:vAlign w:val="center"/>
          </w:tcPr>
          <w:p w14:paraId="4F3A3343" w14:textId="6FC970A3" w:rsidR="007C111C" w:rsidRDefault="0048727F" w:rsidP="0021272B">
            <w:pPr>
              <w:contextualSpacing/>
              <w:jc w:val="center"/>
              <w:rPr>
                <w:rFonts w:cstheme="minorHAnsi"/>
                <w:b/>
                <w:bCs/>
              </w:rPr>
            </w:pPr>
            <w:r>
              <w:rPr>
                <w:rFonts w:cstheme="minorHAnsi"/>
                <w:b/>
                <w:bCs/>
              </w:rPr>
              <w:lastRenderedPageBreak/>
              <w:t>1</w:t>
            </w:r>
            <w:r w:rsidR="00A92A74">
              <w:rPr>
                <w:rFonts w:cstheme="minorHAnsi"/>
                <w:b/>
                <w:bCs/>
              </w:rPr>
              <w:t>5</w:t>
            </w:r>
          </w:p>
        </w:tc>
        <w:tc>
          <w:tcPr>
            <w:tcW w:w="5500" w:type="dxa"/>
            <w:tcBorders>
              <w:bottom w:val="single" w:sz="8" w:space="0" w:color="auto"/>
            </w:tcBorders>
          </w:tcPr>
          <w:p w14:paraId="06CD6989" w14:textId="105EAA20" w:rsidR="007C111C" w:rsidRPr="00AC44B5" w:rsidRDefault="0048727F" w:rsidP="00B27173">
            <w:pPr>
              <w:contextualSpacing/>
              <w:jc w:val="both"/>
              <w:rPr>
                <w:rFonts w:cstheme="minorHAnsi"/>
                <w:bCs/>
              </w:rPr>
            </w:pPr>
            <w:r>
              <w:rPr>
                <w:rFonts w:cstheme="minorHAnsi"/>
                <w:bCs/>
              </w:rPr>
              <w:t>Katetr</w:t>
            </w:r>
            <w:r w:rsidRPr="006F7F6A">
              <w:t xml:space="preserve"> </w:t>
            </w:r>
            <w:r>
              <w:t xml:space="preserve">obsahuje také </w:t>
            </w:r>
            <w:r w:rsidRPr="006F7F6A">
              <w:t>repoziční jednotk</w:t>
            </w:r>
            <w:r>
              <w:t>u</w:t>
            </w:r>
            <w:r w:rsidRPr="006F7F6A">
              <w:t xml:space="preserve"> pro použití při léčbě pacienta na lůžku mimo katetrizační/operační sál </w:t>
            </w:r>
            <w:r>
              <w:br/>
            </w:r>
            <w:r w:rsidRPr="006F7F6A">
              <w:t>a umožňuje zavedení vodiče do velikosti 0.035“ postranním vstupem do tepny</w:t>
            </w:r>
            <w:r>
              <w:t>.</w:t>
            </w:r>
          </w:p>
        </w:tc>
        <w:tc>
          <w:tcPr>
            <w:tcW w:w="1276" w:type="dxa"/>
            <w:tcBorders>
              <w:bottom w:val="single" w:sz="8" w:space="0" w:color="auto"/>
            </w:tcBorders>
            <w:vAlign w:val="center"/>
          </w:tcPr>
          <w:p w14:paraId="1156583B" w14:textId="77777777" w:rsidR="007C111C" w:rsidRPr="009F5CCD" w:rsidRDefault="007C111C" w:rsidP="0021272B">
            <w:pPr>
              <w:contextualSpacing/>
              <w:rPr>
                <w:rFonts w:cstheme="minorHAnsi"/>
              </w:rPr>
            </w:pPr>
          </w:p>
        </w:tc>
        <w:tc>
          <w:tcPr>
            <w:tcW w:w="2207" w:type="dxa"/>
            <w:tcBorders>
              <w:bottom w:val="single" w:sz="8" w:space="0" w:color="auto"/>
            </w:tcBorders>
            <w:vAlign w:val="center"/>
          </w:tcPr>
          <w:p w14:paraId="38839066" w14:textId="77777777" w:rsidR="007C111C" w:rsidRPr="009F5CCD" w:rsidRDefault="007C111C" w:rsidP="0021272B">
            <w:pPr>
              <w:contextualSpacing/>
              <w:rPr>
                <w:rFonts w:cstheme="minorHAnsi"/>
              </w:rPr>
            </w:pPr>
          </w:p>
        </w:tc>
      </w:tr>
      <w:tr w:rsidR="00E22DE9" w:rsidRPr="00763827" w14:paraId="6C3A0CE7" w14:textId="77777777" w:rsidTr="00AB1E94">
        <w:trPr>
          <w:cantSplit/>
          <w:trHeight w:val="331"/>
          <w:jc w:val="center"/>
        </w:trPr>
        <w:tc>
          <w:tcPr>
            <w:tcW w:w="9847" w:type="dxa"/>
            <w:gridSpan w:val="4"/>
            <w:tcBorders>
              <w:top w:val="single" w:sz="8" w:space="0" w:color="auto"/>
              <w:left w:val="single" w:sz="12" w:space="0" w:color="auto"/>
              <w:bottom w:val="single" w:sz="8" w:space="0" w:color="auto"/>
              <w:right w:val="single" w:sz="12" w:space="0" w:color="auto"/>
            </w:tcBorders>
            <w:shd w:val="clear" w:color="auto" w:fill="C6D9F1" w:themeFill="text2" w:themeFillTint="33"/>
            <w:vAlign w:val="center"/>
          </w:tcPr>
          <w:p w14:paraId="78D70725" w14:textId="1AD8F9BA" w:rsidR="00E22DE9" w:rsidRPr="00E22DE9" w:rsidRDefault="00E22DE9" w:rsidP="0021272B">
            <w:pPr>
              <w:contextualSpacing/>
              <w:rPr>
                <w:rFonts w:cstheme="minorHAnsi"/>
                <w:b/>
                <w:bCs/>
              </w:rPr>
            </w:pPr>
            <w:r w:rsidRPr="00E22DE9">
              <w:rPr>
                <w:rFonts w:cstheme="minorHAnsi"/>
                <w:b/>
                <w:bCs/>
              </w:rPr>
              <w:t>Další vlastnosti</w:t>
            </w:r>
          </w:p>
        </w:tc>
      </w:tr>
      <w:tr w:rsidR="001C01D2" w:rsidRPr="00763827" w14:paraId="565E87E5" w14:textId="77777777" w:rsidTr="00AB1E94">
        <w:trPr>
          <w:cantSplit/>
          <w:trHeight w:val="331"/>
          <w:jc w:val="center"/>
        </w:trPr>
        <w:tc>
          <w:tcPr>
            <w:tcW w:w="864" w:type="dxa"/>
            <w:tcBorders>
              <w:top w:val="single" w:sz="8" w:space="0" w:color="auto"/>
            </w:tcBorders>
            <w:vAlign w:val="center"/>
          </w:tcPr>
          <w:p w14:paraId="2BC826A3" w14:textId="12C7E31B" w:rsidR="001C01D2" w:rsidRDefault="00EE1A47" w:rsidP="0021272B">
            <w:pPr>
              <w:contextualSpacing/>
              <w:jc w:val="center"/>
              <w:rPr>
                <w:rFonts w:cstheme="minorHAnsi"/>
                <w:b/>
                <w:bCs/>
              </w:rPr>
            </w:pPr>
            <w:r>
              <w:rPr>
                <w:rFonts w:cstheme="minorHAnsi"/>
                <w:b/>
                <w:bCs/>
              </w:rPr>
              <w:t>1</w:t>
            </w:r>
            <w:r w:rsidR="00A92A74">
              <w:rPr>
                <w:rFonts w:cstheme="minorHAnsi"/>
                <w:b/>
                <w:bCs/>
              </w:rPr>
              <w:t>6</w:t>
            </w:r>
          </w:p>
        </w:tc>
        <w:tc>
          <w:tcPr>
            <w:tcW w:w="5500" w:type="dxa"/>
            <w:tcBorders>
              <w:top w:val="single" w:sz="8" w:space="0" w:color="auto"/>
            </w:tcBorders>
          </w:tcPr>
          <w:p w14:paraId="387EF895" w14:textId="2458AD9A" w:rsidR="001C01D2" w:rsidRPr="009114C0" w:rsidRDefault="00314591" w:rsidP="00B27173">
            <w:pPr>
              <w:contextualSpacing/>
              <w:jc w:val="both"/>
              <w:rPr>
                <w:rFonts w:cstheme="minorHAnsi"/>
              </w:rPr>
            </w:pPr>
            <w:r>
              <w:rPr>
                <w:rFonts w:cstheme="minorHAnsi"/>
              </w:rPr>
              <w:t>O</w:t>
            </w:r>
            <w:r w:rsidR="001C01D2" w:rsidRPr="009114C0">
              <w:rPr>
                <w:rFonts w:cstheme="minorHAnsi"/>
              </w:rPr>
              <w:t>ptický sensor tlaku v aortě</w:t>
            </w:r>
          </w:p>
        </w:tc>
        <w:tc>
          <w:tcPr>
            <w:tcW w:w="1276" w:type="dxa"/>
            <w:tcBorders>
              <w:top w:val="single" w:sz="8" w:space="0" w:color="auto"/>
            </w:tcBorders>
            <w:vAlign w:val="center"/>
          </w:tcPr>
          <w:p w14:paraId="7A133CE6" w14:textId="77777777" w:rsidR="001C01D2" w:rsidRPr="009F5CCD" w:rsidRDefault="001C01D2" w:rsidP="0021272B">
            <w:pPr>
              <w:contextualSpacing/>
              <w:rPr>
                <w:rFonts w:cstheme="minorHAnsi"/>
              </w:rPr>
            </w:pPr>
          </w:p>
        </w:tc>
        <w:tc>
          <w:tcPr>
            <w:tcW w:w="2207" w:type="dxa"/>
            <w:tcBorders>
              <w:top w:val="single" w:sz="8" w:space="0" w:color="auto"/>
            </w:tcBorders>
            <w:vAlign w:val="center"/>
          </w:tcPr>
          <w:p w14:paraId="4F143C6A" w14:textId="77777777" w:rsidR="001C01D2" w:rsidRPr="009F5CCD" w:rsidRDefault="001C01D2" w:rsidP="0021272B">
            <w:pPr>
              <w:contextualSpacing/>
              <w:rPr>
                <w:rFonts w:cstheme="minorHAnsi"/>
              </w:rPr>
            </w:pPr>
          </w:p>
        </w:tc>
      </w:tr>
      <w:tr w:rsidR="0021272B" w:rsidRPr="00763827" w14:paraId="16E421DE" w14:textId="77777777" w:rsidTr="00E4775A">
        <w:trPr>
          <w:cantSplit/>
          <w:trHeight w:val="331"/>
          <w:jc w:val="center"/>
        </w:trPr>
        <w:tc>
          <w:tcPr>
            <w:tcW w:w="864" w:type="dxa"/>
            <w:vAlign w:val="center"/>
          </w:tcPr>
          <w:p w14:paraId="4C5453AF" w14:textId="19911165" w:rsidR="0021272B" w:rsidRDefault="00EE1A47" w:rsidP="0021272B">
            <w:pPr>
              <w:contextualSpacing/>
              <w:jc w:val="center"/>
              <w:rPr>
                <w:rFonts w:cstheme="minorHAnsi"/>
                <w:b/>
                <w:bCs/>
              </w:rPr>
            </w:pPr>
            <w:r>
              <w:rPr>
                <w:rFonts w:cstheme="minorHAnsi"/>
                <w:b/>
                <w:bCs/>
              </w:rPr>
              <w:t>1</w:t>
            </w:r>
            <w:r w:rsidR="00A92A74">
              <w:rPr>
                <w:rFonts w:cstheme="minorHAnsi"/>
                <w:b/>
                <w:bCs/>
              </w:rPr>
              <w:t>7</w:t>
            </w:r>
          </w:p>
        </w:tc>
        <w:tc>
          <w:tcPr>
            <w:tcW w:w="5500" w:type="dxa"/>
          </w:tcPr>
          <w:p w14:paraId="5A1B2F66" w14:textId="5B4C4CC3" w:rsidR="0021272B" w:rsidRDefault="00AC44B5" w:rsidP="00B27173">
            <w:pPr>
              <w:contextualSpacing/>
              <w:jc w:val="both"/>
              <w:rPr>
                <w:rFonts w:cstheme="minorHAnsi"/>
              </w:rPr>
            </w:pPr>
            <w:r>
              <w:rPr>
                <w:rFonts w:cstheme="minorHAnsi"/>
              </w:rPr>
              <w:t>M</w:t>
            </w:r>
            <w:r w:rsidR="009114C0" w:rsidRPr="009114C0">
              <w:rPr>
                <w:rFonts w:cstheme="minorHAnsi"/>
              </w:rPr>
              <w:t>ěření tlaku v levé komoře pomocí mikro-axiálního motoru</w:t>
            </w:r>
          </w:p>
        </w:tc>
        <w:tc>
          <w:tcPr>
            <w:tcW w:w="1276" w:type="dxa"/>
            <w:vAlign w:val="center"/>
          </w:tcPr>
          <w:p w14:paraId="5FF63930" w14:textId="77777777" w:rsidR="0021272B" w:rsidRPr="009F5CCD" w:rsidRDefault="0021272B" w:rsidP="0021272B">
            <w:pPr>
              <w:contextualSpacing/>
              <w:rPr>
                <w:rFonts w:cstheme="minorHAnsi"/>
              </w:rPr>
            </w:pPr>
          </w:p>
        </w:tc>
        <w:tc>
          <w:tcPr>
            <w:tcW w:w="2207" w:type="dxa"/>
            <w:vAlign w:val="center"/>
          </w:tcPr>
          <w:p w14:paraId="03FCDE2D" w14:textId="77777777" w:rsidR="0021272B" w:rsidRPr="009F5CCD" w:rsidRDefault="0021272B" w:rsidP="0021272B">
            <w:pPr>
              <w:contextualSpacing/>
              <w:rPr>
                <w:rFonts w:cstheme="minorHAnsi"/>
              </w:rPr>
            </w:pPr>
          </w:p>
        </w:tc>
      </w:tr>
      <w:tr w:rsidR="0021272B" w:rsidRPr="00763827" w14:paraId="7F0A611A" w14:textId="77777777" w:rsidTr="00E4775A">
        <w:trPr>
          <w:cantSplit/>
          <w:trHeight w:val="331"/>
          <w:jc w:val="center"/>
        </w:trPr>
        <w:tc>
          <w:tcPr>
            <w:tcW w:w="864" w:type="dxa"/>
            <w:vAlign w:val="center"/>
          </w:tcPr>
          <w:p w14:paraId="23EC8872" w14:textId="72FCA80E" w:rsidR="0021272B" w:rsidRDefault="00EE1A47" w:rsidP="0021272B">
            <w:pPr>
              <w:contextualSpacing/>
              <w:jc w:val="center"/>
              <w:rPr>
                <w:rFonts w:cstheme="minorHAnsi"/>
                <w:b/>
                <w:bCs/>
              </w:rPr>
            </w:pPr>
            <w:r>
              <w:rPr>
                <w:rFonts w:cstheme="minorHAnsi"/>
                <w:b/>
                <w:bCs/>
              </w:rPr>
              <w:t>1</w:t>
            </w:r>
            <w:r w:rsidR="00A92A74">
              <w:rPr>
                <w:rFonts w:cstheme="minorHAnsi"/>
                <w:b/>
                <w:bCs/>
              </w:rPr>
              <w:t>8</w:t>
            </w:r>
          </w:p>
        </w:tc>
        <w:tc>
          <w:tcPr>
            <w:tcW w:w="5500" w:type="dxa"/>
          </w:tcPr>
          <w:p w14:paraId="443B3D1A" w14:textId="6EF11CF3" w:rsidR="0021272B" w:rsidRDefault="00AC44B5" w:rsidP="00B27173">
            <w:pPr>
              <w:contextualSpacing/>
              <w:jc w:val="both"/>
              <w:rPr>
                <w:rFonts w:cstheme="minorHAnsi"/>
              </w:rPr>
            </w:pPr>
            <w:r>
              <w:rPr>
                <w:rFonts w:cstheme="minorHAnsi"/>
              </w:rPr>
              <w:t>M</w:t>
            </w:r>
            <w:r w:rsidR="00D70EC7" w:rsidRPr="00D70EC7">
              <w:rPr>
                <w:rFonts w:cstheme="minorHAnsi"/>
              </w:rPr>
              <w:t>ožnost repozice bez použití zobrazovacích metod při dislokaci do komory</w:t>
            </w:r>
          </w:p>
        </w:tc>
        <w:tc>
          <w:tcPr>
            <w:tcW w:w="1276" w:type="dxa"/>
            <w:vAlign w:val="center"/>
          </w:tcPr>
          <w:p w14:paraId="2FA3F76C" w14:textId="77777777" w:rsidR="0021272B" w:rsidRPr="009F5CCD" w:rsidRDefault="0021272B" w:rsidP="0021272B">
            <w:pPr>
              <w:contextualSpacing/>
              <w:rPr>
                <w:rFonts w:cstheme="minorHAnsi"/>
              </w:rPr>
            </w:pPr>
          </w:p>
        </w:tc>
        <w:tc>
          <w:tcPr>
            <w:tcW w:w="2207" w:type="dxa"/>
            <w:vAlign w:val="center"/>
          </w:tcPr>
          <w:p w14:paraId="4057B011" w14:textId="77777777" w:rsidR="0021272B" w:rsidRPr="009F5CCD" w:rsidRDefault="0021272B" w:rsidP="0021272B">
            <w:pPr>
              <w:contextualSpacing/>
              <w:rPr>
                <w:rFonts w:cstheme="minorHAnsi"/>
              </w:rPr>
            </w:pPr>
          </w:p>
        </w:tc>
      </w:tr>
      <w:tr w:rsidR="0021272B" w:rsidRPr="00763827" w14:paraId="0652B545" w14:textId="77777777" w:rsidTr="00E4775A">
        <w:trPr>
          <w:cantSplit/>
          <w:trHeight w:val="331"/>
          <w:jc w:val="center"/>
        </w:trPr>
        <w:tc>
          <w:tcPr>
            <w:tcW w:w="864" w:type="dxa"/>
            <w:vAlign w:val="center"/>
          </w:tcPr>
          <w:p w14:paraId="405C0E5D" w14:textId="54CBEFFA" w:rsidR="0021272B" w:rsidRDefault="00EE1A47" w:rsidP="0021272B">
            <w:pPr>
              <w:contextualSpacing/>
              <w:jc w:val="center"/>
              <w:rPr>
                <w:rFonts w:cstheme="minorHAnsi"/>
                <w:b/>
                <w:bCs/>
              </w:rPr>
            </w:pPr>
            <w:r>
              <w:rPr>
                <w:rFonts w:cstheme="minorHAnsi"/>
                <w:b/>
                <w:bCs/>
              </w:rPr>
              <w:t>1</w:t>
            </w:r>
            <w:r w:rsidR="00A92A74">
              <w:rPr>
                <w:rFonts w:cstheme="minorHAnsi"/>
                <w:b/>
                <w:bCs/>
              </w:rPr>
              <w:t>9</w:t>
            </w:r>
          </w:p>
        </w:tc>
        <w:tc>
          <w:tcPr>
            <w:tcW w:w="5500" w:type="dxa"/>
          </w:tcPr>
          <w:p w14:paraId="269FDDFA" w14:textId="48A38DA6" w:rsidR="0021272B" w:rsidRDefault="00A17ECE" w:rsidP="00D70EC7">
            <w:pPr>
              <w:contextualSpacing/>
              <w:jc w:val="both"/>
              <w:rPr>
                <w:rFonts w:cstheme="minorHAnsi"/>
              </w:rPr>
            </w:pPr>
            <w:r>
              <w:rPr>
                <w:rFonts w:cstheme="minorHAnsi"/>
              </w:rPr>
              <w:t>P</w:t>
            </w:r>
            <w:r w:rsidR="00D70EC7" w:rsidRPr="00D70EC7">
              <w:rPr>
                <w:rFonts w:cstheme="minorHAnsi"/>
              </w:rPr>
              <w:t>řesnější a rychlejší rozlišení alarmu přisávání, vyhodnocení selhávání pravé komo</w:t>
            </w:r>
          </w:p>
        </w:tc>
        <w:tc>
          <w:tcPr>
            <w:tcW w:w="1276" w:type="dxa"/>
            <w:vAlign w:val="center"/>
          </w:tcPr>
          <w:p w14:paraId="5E1391A4" w14:textId="77777777" w:rsidR="0021272B" w:rsidRPr="009F5CCD" w:rsidRDefault="0021272B" w:rsidP="0021272B">
            <w:pPr>
              <w:contextualSpacing/>
              <w:rPr>
                <w:rFonts w:cstheme="minorHAnsi"/>
              </w:rPr>
            </w:pPr>
          </w:p>
        </w:tc>
        <w:tc>
          <w:tcPr>
            <w:tcW w:w="2207" w:type="dxa"/>
            <w:vAlign w:val="center"/>
          </w:tcPr>
          <w:p w14:paraId="2FC727E8" w14:textId="77777777" w:rsidR="0021272B" w:rsidRPr="009F5CCD" w:rsidRDefault="0021272B" w:rsidP="0021272B">
            <w:pPr>
              <w:contextualSpacing/>
              <w:rPr>
                <w:rFonts w:cstheme="minorHAnsi"/>
              </w:rPr>
            </w:pPr>
          </w:p>
        </w:tc>
      </w:tr>
      <w:tr w:rsidR="0021272B" w:rsidRPr="00763827" w14:paraId="0E194C36" w14:textId="77777777" w:rsidTr="00E4775A">
        <w:trPr>
          <w:cantSplit/>
          <w:trHeight w:val="331"/>
          <w:jc w:val="center"/>
        </w:trPr>
        <w:tc>
          <w:tcPr>
            <w:tcW w:w="864" w:type="dxa"/>
            <w:vAlign w:val="center"/>
          </w:tcPr>
          <w:p w14:paraId="13D106A2" w14:textId="2D0D0D5E" w:rsidR="0021272B" w:rsidRDefault="00A92A74" w:rsidP="0021272B">
            <w:pPr>
              <w:contextualSpacing/>
              <w:jc w:val="center"/>
              <w:rPr>
                <w:rFonts w:cstheme="minorHAnsi"/>
                <w:b/>
                <w:bCs/>
              </w:rPr>
            </w:pPr>
            <w:r>
              <w:rPr>
                <w:rFonts w:cstheme="minorHAnsi"/>
                <w:b/>
                <w:bCs/>
              </w:rPr>
              <w:t>20</w:t>
            </w:r>
          </w:p>
        </w:tc>
        <w:tc>
          <w:tcPr>
            <w:tcW w:w="5500" w:type="dxa"/>
          </w:tcPr>
          <w:p w14:paraId="54F8428D" w14:textId="1721B8FE" w:rsidR="0021272B" w:rsidRDefault="00A17ECE" w:rsidP="00B27173">
            <w:pPr>
              <w:contextualSpacing/>
              <w:jc w:val="both"/>
              <w:rPr>
                <w:rFonts w:cstheme="minorHAnsi"/>
              </w:rPr>
            </w:pPr>
            <w:r>
              <w:rPr>
                <w:rFonts w:cstheme="minorHAnsi"/>
              </w:rPr>
              <w:t>A</w:t>
            </w:r>
            <w:r w:rsidR="00D70EC7" w:rsidRPr="00D70EC7">
              <w:rPr>
                <w:rFonts w:cstheme="minorHAnsi"/>
              </w:rPr>
              <w:t xml:space="preserve">sistence při posouzení </w:t>
            </w:r>
            <w:proofErr w:type="spellStart"/>
            <w:r w:rsidR="00D70EC7" w:rsidRPr="00D70EC7">
              <w:rPr>
                <w:rFonts w:cstheme="minorHAnsi"/>
              </w:rPr>
              <w:t>hemodynamického</w:t>
            </w:r>
            <w:proofErr w:type="spellEnd"/>
            <w:r w:rsidR="00D70EC7" w:rsidRPr="00D70EC7">
              <w:rPr>
                <w:rFonts w:cstheme="minorHAnsi"/>
              </w:rPr>
              <w:t xml:space="preserve"> stavu pacienta – aortální tlaková křivka umístění, </w:t>
            </w:r>
            <w:proofErr w:type="spellStart"/>
            <w:r w:rsidR="00D70EC7" w:rsidRPr="00D70EC7">
              <w:rPr>
                <w:rFonts w:cstheme="minorHAnsi"/>
              </w:rPr>
              <w:t>levokomorová</w:t>
            </w:r>
            <w:proofErr w:type="spellEnd"/>
            <w:r w:rsidR="00D70EC7">
              <w:rPr>
                <w:rFonts w:cstheme="minorHAnsi"/>
              </w:rPr>
              <w:t xml:space="preserve"> </w:t>
            </w:r>
            <w:r w:rsidR="00D70EC7" w:rsidRPr="00D70EC7">
              <w:rPr>
                <w:rFonts w:cstheme="minorHAnsi"/>
              </w:rPr>
              <w:t>tlaková křivka, celkový srdeční výdej, srdeční výkon</w:t>
            </w:r>
          </w:p>
        </w:tc>
        <w:tc>
          <w:tcPr>
            <w:tcW w:w="1276" w:type="dxa"/>
            <w:vAlign w:val="center"/>
          </w:tcPr>
          <w:p w14:paraId="531E02EC" w14:textId="77777777" w:rsidR="0021272B" w:rsidRPr="009F5CCD" w:rsidRDefault="0021272B" w:rsidP="0021272B">
            <w:pPr>
              <w:contextualSpacing/>
              <w:rPr>
                <w:rFonts w:cstheme="minorHAnsi"/>
              </w:rPr>
            </w:pPr>
          </w:p>
        </w:tc>
        <w:tc>
          <w:tcPr>
            <w:tcW w:w="2207" w:type="dxa"/>
            <w:vAlign w:val="center"/>
          </w:tcPr>
          <w:p w14:paraId="4163008F" w14:textId="77777777" w:rsidR="0021272B" w:rsidRPr="009F5CCD" w:rsidRDefault="0021272B" w:rsidP="0021272B">
            <w:pPr>
              <w:contextualSpacing/>
              <w:rPr>
                <w:rFonts w:cstheme="minorHAnsi"/>
              </w:rPr>
            </w:pPr>
          </w:p>
        </w:tc>
      </w:tr>
      <w:tr w:rsidR="0021272B" w:rsidRPr="00763827" w14:paraId="1B034493" w14:textId="77777777" w:rsidTr="00E4775A">
        <w:trPr>
          <w:cantSplit/>
          <w:trHeight w:val="331"/>
          <w:jc w:val="center"/>
        </w:trPr>
        <w:tc>
          <w:tcPr>
            <w:tcW w:w="864" w:type="dxa"/>
            <w:vAlign w:val="center"/>
          </w:tcPr>
          <w:p w14:paraId="71E8351D" w14:textId="03F58594" w:rsidR="0021272B" w:rsidRDefault="00A92A74" w:rsidP="0021272B">
            <w:pPr>
              <w:contextualSpacing/>
              <w:jc w:val="center"/>
              <w:rPr>
                <w:rFonts w:cstheme="minorHAnsi"/>
                <w:b/>
                <w:bCs/>
              </w:rPr>
            </w:pPr>
            <w:r>
              <w:rPr>
                <w:rFonts w:cstheme="minorHAnsi"/>
                <w:b/>
                <w:bCs/>
              </w:rPr>
              <w:t>21</w:t>
            </w:r>
          </w:p>
        </w:tc>
        <w:tc>
          <w:tcPr>
            <w:tcW w:w="5500" w:type="dxa"/>
          </w:tcPr>
          <w:p w14:paraId="744A9876" w14:textId="5C4561C4" w:rsidR="0021272B" w:rsidRDefault="00A17ECE" w:rsidP="00B27173">
            <w:pPr>
              <w:contextualSpacing/>
              <w:jc w:val="both"/>
              <w:rPr>
                <w:rFonts w:cstheme="minorHAnsi"/>
              </w:rPr>
            </w:pPr>
            <w:r>
              <w:rPr>
                <w:rFonts w:cstheme="minorHAnsi"/>
              </w:rPr>
              <w:t>V</w:t>
            </w:r>
            <w:r w:rsidR="00D70EC7" w:rsidRPr="00D70EC7">
              <w:rPr>
                <w:rFonts w:cstheme="minorHAnsi"/>
              </w:rPr>
              <w:t xml:space="preserve">edení při </w:t>
            </w:r>
            <w:proofErr w:type="spellStart"/>
            <w:r w:rsidR="00D70EC7" w:rsidRPr="00D70EC7">
              <w:rPr>
                <w:rFonts w:cstheme="minorHAnsi"/>
              </w:rPr>
              <w:t>weaningu</w:t>
            </w:r>
            <w:proofErr w:type="spellEnd"/>
            <w:r w:rsidR="00D70EC7" w:rsidRPr="00D70EC7">
              <w:rPr>
                <w:rFonts w:cstheme="minorHAnsi"/>
              </w:rPr>
              <w:t xml:space="preserve"> pomocí zobrazení trendů - střední aortální tlak, LVEDP srdeční výdej, průtok, nativní srdeční výdej</w:t>
            </w:r>
          </w:p>
        </w:tc>
        <w:tc>
          <w:tcPr>
            <w:tcW w:w="1276" w:type="dxa"/>
            <w:vAlign w:val="center"/>
          </w:tcPr>
          <w:p w14:paraId="6CC7DBAE" w14:textId="77777777" w:rsidR="0021272B" w:rsidRPr="009F5CCD" w:rsidRDefault="0021272B" w:rsidP="0021272B">
            <w:pPr>
              <w:contextualSpacing/>
              <w:rPr>
                <w:rFonts w:cstheme="minorHAnsi"/>
              </w:rPr>
            </w:pPr>
          </w:p>
        </w:tc>
        <w:tc>
          <w:tcPr>
            <w:tcW w:w="2207" w:type="dxa"/>
            <w:vAlign w:val="center"/>
          </w:tcPr>
          <w:p w14:paraId="4A4382F1" w14:textId="77777777" w:rsidR="0021272B" w:rsidRPr="009F5CCD" w:rsidRDefault="0021272B" w:rsidP="0021272B">
            <w:pPr>
              <w:contextualSpacing/>
              <w:rPr>
                <w:rFonts w:cstheme="minorHAnsi"/>
              </w:rPr>
            </w:pPr>
          </w:p>
        </w:tc>
      </w:tr>
      <w:tr w:rsidR="00CE37E5" w:rsidRPr="00763827" w14:paraId="0BD90CAF" w14:textId="77777777">
        <w:trPr>
          <w:cantSplit/>
          <w:trHeight w:val="331"/>
          <w:jc w:val="center"/>
        </w:trPr>
        <w:tc>
          <w:tcPr>
            <w:tcW w:w="9847" w:type="dxa"/>
            <w:gridSpan w:val="4"/>
            <w:shd w:val="clear" w:color="auto" w:fill="C6D9F1" w:themeFill="text2" w:themeFillTint="33"/>
            <w:vAlign w:val="center"/>
          </w:tcPr>
          <w:p w14:paraId="5781063C" w14:textId="32D147E6" w:rsidR="00CE37E5" w:rsidRPr="00D70EC7" w:rsidRDefault="00D70EC7" w:rsidP="00B27173">
            <w:pPr>
              <w:contextualSpacing/>
              <w:jc w:val="both"/>
              <w:rPr>
                <w:rFonts w:cstheme="minorHAnsi"/>
                <w:b/>
                <w:bCs/>
              </w:rPr>
            </w:pPr>
            <w:r w:rsidRPr="00D70EC7">
              <w:rPr>
                <w:rFonts w:cstheme="minorHAnsi"/>
                <w:b/>
                <w:bCs/>
              </w:rPr>
              <w:t>Systém je certifikován pro indikace</w:t>
            </w:r>
          </w:p>
        </w:tc>
      </w:tr>
      <w:tr w:rsidR="0021272B" w:rsidRPr="00763827" w14:paraId="797D5BC1" w14:textId="77777777" w:rsidTr="00E4775A">
        <w:trPr>
          <w:cantSplit/>
          <w:trHeight w:val="331"/>
          <w:jc w:val="center"/>
        </w:trPr>
        <w:tc>
          <w:tcPr>
            <w:tcW w:w="864" w:type="dxa"/>
            <w:vAlign w:val="center"/>
          </w:tcPr>
          <w:p w14:paraId="29CC2DFF" w14:textId="3D38508B" w:rsidR="0021272B" w:rsidRDefault="00EE1A47" w:rsidP="0021272B">
            <w:pPr>
              <w:contextualSpacing/>
              <w:jc w:val="center"/>
              <w:rPr>
                <w:rFonts w:cstheme="minorHAnsi"/>
                <w:b/>
                <w:bCs/>
              </w:rPr>
            </w:pPr>
            <w:r>
              <w:rPr>
                <w:rFonts w:cstheme="minorHAnsi"/>
                <w:b/>
                <w:bCs/>
              </w:rPr>
              <w:t>2</w:t>
            </w:r>
            <w:r w:rsidR="00A92A74">
              <w:rPr>
                <w:rFonts w:cstheme="minorHAnsi"/>
                <w:b/>
                <w:bCs/>
              </w:rPr>
              <w:t>2</w:t>
            </w:r>
          </w:p>
        </w:tc>
        <w:tc>
          <w:tcPr>
            <w:tcW w:w="5500" w:type="dxa"/>
          </w:tcPr>
          <w:p w14:paraId="190D5DF1" w14:textId="0DC88E64" w:rsidR="0021272B" w:rsidRDefault="00A17ECE" w:rsidP="00B27173">
            <w:pPr>
              <w:contextualSpacing/>
              <w:jc w:val="both"/>
              <w:rPr>
                <w:rFonts w:cstheme="minorHAnsi"/>
              </w:rPr>
            </w:pPr>
            <w:r>
              <w:rPr>
                <w:rFonts w:cstheme="minorHAnsi"/>
              </w:rPr>
              <w:t>U</w:t>
            </w:r>
            <w:r w:rsidR="00D70EC7" w:rsidRPr="00D70EC7">
              <w:rPr>
                <w:rFonts w:cstheme="minorHAnsi"/>
              </w:rPr>
              <w:t xml:space="preserve"> pacientů se sníženou funkcí levé komory (např. </w:t>
            </w:r>
            <w:proofErr w:type="spellStart"/>
            <w:r w:rsidR="00D70EC7" w:rsidRPr="00D70EC7">
              <w:rPr>
                <w:rFonts w:cstheme="minorHAnsi"/>
              </w:rPr>
              <w:t>postkardiotomie</w:t>
            </w:r>
            <w:proofErr w:type="spellEnd"/>
            <w:r w:rsidR="00D70EC7" w:rsidRPr="00D70EC7">
              <w:rPr>
                <w:rFonts w:cstheme="minorHAnsi"/>
              </w:rPr>
              <w:t xml:space="preserve">, </w:t>
            </w:r>
            <w:proofErr w:type="spellStart"/>
            <w:r w:rsidR="00D70EC7" w:rsidRPr="00D70EC7">
              <w:rPr>
                <w:rFonts w:cstheme="minorHAnsi"/>
              </w:rPr>
              <w:t>low</w:t>
            </w:r>
            <w:proofErr w:type="spellEnd"/>
            <w:r w:rsidR="00D70EC7" w:rsidRPr="00D70EC7">
              <w:rPr>
                <w:rFonts w:cstheme="minorHAnsi"/>
              </w:rPr>
              <w:t xml:space="preserve"> output syndrom, kardiogenní šok po akutním infarktu myokardu, protekce myokardu při akutním infarktu myokardu</w:t>
            </w:r>
          </w:p>
        </w:tc>
        <w:tc>
          <w:tcPr>
            <w:tcW w:w="1276" w:type="dxa"/>
            <w:vAlign w:val="center"/>
          </w:tcPr>
          <w:p w14:paraId="30D992E9" w14:textId="77777777" w:rsidR="0021272B" w:rsidRPr="009F5CCD" w:rsidRDefault="0021272B" w:rsidP="0021272B">
            <w:pPr>
              <w:contextualSpacing/>
              <w:rPr>
                <w:rFonts w:cstheme="minorHAnsi"/>
              </w:rPr>
            </w:pPr>
          </w:p>
        </w:tc>
        <w:tc>
          <w:tcPr>
            <w:tcW w:w="2207" w:type="dxa"/>
            <w:vAlign w:val="center"/>
          </w:tcPr>
          <w:p w14:paraId="25E5BC81" w14:textId="77777777" w:rsidR="0021272B" w:rsidRPr="009F5CCD" w:rsidRDefault="0021272B" w:rsidP="0021272B">
            <w:pPr>
              <w:contextualSpacing/>
              <w:rPr>
                <w:rFonts w:cstheme="minorHAnsi"/>
              </w:rPr>
            </w:pPr>
          </w:p>
        </w:tc>
      </w:tr>
      <w:tr w:rsidR="0021272B" w:rsidRPr="00763827" w14:paraId="5EDFCEC6" w14:textId="77777777" w:rsidTr="00E4775A">
        <w:trPr>
          <w:cantSplit/>
          <w:trHeight w:val="331"/>
          <w:jc w:val="center"/>
        </w:trPr>
        <w:tc>
          <w:tcPr>
            <w:tcW w:w="864" w:type="dxa"/>
            <w:vAlign w:val="center"/>
          </w:tcPr>
          <w:p w14:paraId="5CC27756" w14:textId="480F5655" w:rsidR="0021272B" w:rsidRDefault="00EE1A47" w:rsidP="0021272B">
            <w:pPr>
              <w:contextualSpacing/>
              <w:jc w:val="center"/>
              <w:rPr>
                <w:rFonts w:cstheme="minorHAnsi"/>
                <w:b/>
                <w:bCs/>
              </w:rPr>
            </w:pPr>
            <w:r>
              <w:rPr>
                <w:rFonts w:cstheme="minorHAnsi"/>
                <w:b/>
                <w:bCs/>
              </w:rPr>
              <w:t>2</w:t>
            </w:r>
            <w:r w:rsidR="00A92A74">
              <w:rPr>
                <w:rFonts w:cstheme="minorHAnsi"/>
                <w:b/>
                <w:bCs/>
              </w:rPr>
              <w:t>3</w:t>
            </w:r>
          </w:p>
        </w:tc>
        <w:tc>
          <w:tcPr>
            <w:tcW w:w="5500" w:type="dxa"/>
          </w:tcPr>
          <w:p w14:paraId="2B690AD1" w14:textId="652B8563" w:rsidR="0021272B" w:rsidRDefault="00A17ECE" w:rsidP="00B27173">
            <w:pPr>
              <w:contextualSpacing/>
              <w:jc w:val="both"/>
              <w:rPr>
                <w:rFonts w:cstheme="minorHAnsi"/>
              </w:rPr>
            </w:pPr>
            <w:r>
              <w:rPr>
                <w:rFonts w:cstheme="minorHAnsi"/>
              </w:rPr>
              <w:t>J</w:t>
            </w:r>
            <w:r w:rsidR="00D70EC7" w:rsidRPr="00D70EC7">
              <w:rPr>
                <w:rFonts w:cstheme="minorHAnsi"/>
              </w:rPr>
              <w:t xml:space="preserve">ako kardiovaskulární podpora při kardiochirurgické operaci aortokoronárního bypassu na bijícím srdci, a to částečně </w:t>
            </w:r>
            <w:r w:rsidR="00D70EC7">
              <w:rPr>
                <w:rFonts w:cstheme="minorHAnsi"/>
              </w:rPr>
              <w:br/>
            </w:r>
            <w:r w:rsidR="00D70EC7" w:rsidRPr="00D70EC7">
              <w:rPr>
                <w:rFonts w:cstheme="minorHAnsi"/>
              </w:rPr>
              <w:t xml:space="preserve">u pacientů s limitovanou preoperační ejekční frakcí s vysokým rizikem pooperačního vzniku </w:t>
            </w:r>
            <w:proofErr w:type="spellStart"/>
            <w:r w:rsidR="00D70EC7" w:rsidRPr="00D70EC7">
              <w:rPr>
                <w:rFonts w:cstheme="minorHAnsi"/>
              </w:rPr>
              <w:t>low</w:t>
            </w:r>
            <w:proofErr w:type="spellEnd"/>
            <w:r w:rsidR="00D70EC7" w:rsidRPr="00D70EC7">
              <w:rPr>
                <w:rFonts w:cstheme="minorHAnsi"/>
              </w:rPr>
              <w:t xml:space="preserve"> output syndromu</w:t>
            </w:r>
          </w:p>
        </w:tc>
        <w:tc>
          <w:tcPr>
            <w:tcW w:w="1276" w:type="dxa"/>
            <w:vAlign w:val="center"/>
          </w:tcPr>
          <w:p w14:paraId="77D0AEF7" w14:textId="77777777" w:rsidR="0021272B" w:rsidRPr="009F5CCD" w:rsidRDefault="0021272B" w:rsidP="0021272B">
            <w:pPr>
              <w:contextualSpacing/>
              <w:rPr>
                <w:rFonts w:cstheme="minorHAnsi"/>
              </w:rPr>
            </w:pPr>
          </w:p>
        </w:tc>
        <w:tc>
          <w:tcPr>
            <w:tcW w:w="2207" w:type="dxa"/>
            <w:vAlign w:val="center"/>
          </w:tcPr>
          <w:p w14:paraId="1BD53F08" w14:textId="77777777" w:rsidR="0021272B" w:rsidRPr="009F5CCD" w:rsidRDefault="0021272B" w:rsidP="0021272B">
            <w:pPr>
              <w:contextualSpacing/>
              <w:rPr>
                <w:rFonts w:cstheme="minorHAnsi"/>
              </w:rPr>
            </w:pPr>
          </w:p>
        </w:tc>
      </w:tr>
      <w:tr w:rsidR="00D70EC7" w:rsidRPr="00763827" w14:paraId="14342108" w14:textId="77777777" w:rsidTr="00E4775A">
        <w:trPr>
          <w:cantSplit/>
          <w:trHeight w:val="331"/>
          <w:jc w:val="center"/>
        </w:trPr>
        <w:tc>
          <w:tcPr>
            <w:tcW w:w="864" w:type="dxa"/>
            <w:vAlign w:val="center"/>
          </w:tcPr>
          <w:p w14:paraId="333D88EA" w14:textId="4EE1B84B" w:rsidR="00D70EC7" w:rsidRDefault="00EE1A47" w:rsidP="0021272B">
            <w:pPr>
              <w:contextualSpacing/>
              <w:jc w:val="center"/>
              <w:rPr>
                <w:rFonts w:cstheme="minorHAnsi"/>
                <w:b/>
                <w:bCs/>
              </w:rPr>
            </w:pPr>
            <w:r>
              <w:rPr>
                <w:rFonts w:cstheme="minorHAnsi"/>
                <w:b/>
                <w:bCs/>
              </w:rPr>
              <w:t>2</w:t>
            </w:r>
            <w:r w:rsidR="00A92A74">
              <w:rPr>
                <w:rFonts w:cstheme="minorHAnsi"/>
                <w:b/>
                <w:bCs/>
              </w:rPr>
              <w:t>4</w:t>
            </w:r>
          </w:p>
        </w:tc>
        <w:tc>
          <w:tcPr>
            <w:tcW w:w="5500" w:type="dxa"/>
          </w:tcPr>
          <w:p w14:paraId="5ABA528C" w14:textId="5CC7228A" w:rsidR="00D70EC7" w:rsidRPr="00D70EC7" w:rsidRDefault="00A17ECE" w:rsidP="00B27173">
            <w:pPr>
              <w:contextualSpacing/>
              <w:jc w:val="both"/>
              <w:rPr>
                <w:rFonts w:cstheme="minorHAnsi"/>
              </w:rPr>
            </w:pPr>
            <w:r>
              <w:rPr>
                <w:rFonts w:cstheme="minorHAnsi"/>
              </w:rPr>
              <w:t>J</w:t>
            </w:r>
            <w:r w:rsidR="00D70EC7" w:rsidRPr="00D70EC7">
              <w:rPr>
                <w:rFonts w:cstheme="minorHAnsi"/>
              </w:rPr>
              <w:t>ako protekce při vysoce rizikové koronární intervenci (HRPCI)</w:t>
            </w:r>
          </w:p>
        </w:tc>
        <w:tc>
          <w:tcPr>
            <w:tcW w:w="1276" w:type="dxa"/>
            <w:vAlign w:val="center"/>
          </w:tcPr>
          <w:p w14:paraId="38FDA106" w14:textId="77777777" w:rsidR="00D70EC7" w:rsidRPr="009F5CCD" w:rsidRDefault="00D70EC7" w:rsidP="0021272B">
            <w:pPr>
              <w:contextualSpacing/>
              <w:rPr>
                <w:rFonts w:cstheme="minorHAnsi"/>
              </w:rPr>
            </w:pPr>
          </w:p>
        </w:tc>
        <w:tc>
          <w:tcPr>
            <w:tcW w:w="2207" w:type="dxa"/>
            <w:vAlign w:val="center"/>
          </w:tcPr>
          <w:p w14:paraId="751726B0" w14:textId="77777777" w:rsidR="00D70EC7" w:rsidRPr="009F5CCD" w:rsidRDefault="00D70EC7" w:rsidP="0021272B">
            <w:pPr>
              <w:contextualSpacing/>
              <w:rPr>
                <w:rFonts w:cstheme="minorHAnsi"/>
              </w:rPr>
            </w:pPr>
          </w:p>
        </w:tc>
      </w:tr>
      <w:tr w:rsidR="00D70EC7" w:rsidRPr="00763827" w14:paraId="77EE2862" w14:textId="77777777" w:rsidTr="00E4775A">
        <w:trPr>
          <w:cantSplit/>
          <w:trHeight w:val="331"/>
          <w:jc w:val="center"/>
        </w:trPr>
        <w:tc>
          <w:tcPr>
            <w:tcW w:w="864" w:type="dxa"/>
            <w:vAlign w:val="center"/>
          </w:tcPr>
          <w:p w14:paraId="2BC08BDE" w14:textId="62D5EA74" w:rsidR="00D70EC7" w:rsidRDefault="00EE1A47" w:rsidP="0021272B">
            <w:pPr>
              <w:contextualSpacing/>
              <w:jc w:val="center"/>
              <w:rPr>
                <w:rFonts w:cstheme="minorHAnsi"/>
                <w:b/>
                <w:bCs/>
              </w:rPr>
            </w:pPr>
            <w:r>
              <w:rPr>
                <w:rFonts w:cstheme="minorHAnsi"/>
                <w:b/>
                <w:bCs/>
              </w:rPr>
              <w:t>2</w:t>
            </w:r>
            <w:r w:rsidR="00A92A74">
              <w:rPr>
                <w:rFonts w:cstheme="minorHAnsi"/>
                <w:b/>
                <w:bCs/>
              </w:rPr>
              <w:t>5</w:t>
            </w:r>
          </w:p>
        </w:tc>
        <w:tc>
          <w:tcPr>
            <w:tcW w:w="5500" w:type="dxa"/>
          </w:tcPr>
          <w:p w14:paraId="14C28656" w14:textId="2D170586" w:rsidR="00D70EC7" w:rsidRPr="00D70EC7" w:rsidRDefault="00A17ECE" w:rsidP="00B27173">
            <w:pPr>
              <w:contextualSpacing/>
              <w:jc w:val="both"/>
              <w:rPr>
                <w:rFonts w:cstheme="minorHAnsi"/>
              </w:rPr>
            </w:pPr>
            <w:r>
              <w:rPr>
                <w:rFonts w:cstheme="minorHAnsi"/>
              </w:rPr>
              <w:t>J</w:t>
            </w:r>
            <w:r w:rsidR="00D70EC7" w:rsidRPr="00D70EC7">
              <w:rPr>
                <w:rFonts w:cstheme="minorHAnsi"/>
              </w:rPr>
              <w:t>ako podpora po PCI</w:t>
            </w:r>
          </w:p>
        </w:tc>
        <w:tc>
          <w:tcPr>
            <w:tcW w:w="1276" w:type="dxa"/>
            <w:vAlign w:val="center"/>
          </w:tcPr>
          <w:p w14:paraId="05A85E0C" w14:textId="77777777" w:rsidR="00D70EC7" w:rsidRPr="009F5CCD" w:rsidRDefault="00D70EC7" w:rsidP="0021272B">
            <w:pPr>
              <w:contextualSpacing/>
              <w:rPr>
                <w:rFonts w:cstheme="minorHAnsi"/>
              </w:rPr>
            </w:pPr>
          </w:p>
        </w:tc>
        <w:tc>
          <w:tcPr>
            <w:tcW w:w="2207" w:type="dxa"/>
            <w:vAlign w:val="center"/>
          </w:tcPr>
          <w:p w14:paraId="272CACCE" w14:textId="77777777" w:rsidR="00D70EC7" w:rsidRPr="009F5CCD" w:rsidRDefault="00D70EC7" w:rsidP="0021272B">
            <w:pPr>
              <w:contextualSpacing/>
              <w:rPr>
                <w:rFonts w:cstheme="minorHAnsi"/>
              </w:rPr>
            </w:pPr>
          </w:p>
        </w:tc>
      </w:tr>
      <w:tr w:rsidR="00F628F7" w:rsidRPr="00763827" w14:paraId="0744EE2D" w14:textId="77777777" w:rsidTr="00E4775A">
        <w:trPr>
          <w:cantSplit/>
          <w:trHeight w:val="331"/>
          <w:jc w:val="center"/>
        </w:trPr>
        <w:tc>
          <w:tcPr>
            <w:tcW w:w="864" w:type="dxa"/>
            <w:vAlign w:val="center"/>
          </w:tcPr>
          <w:p w14:paraId="54BA4649" w14:textId="146F20C4" w:rsidR="00F628F7" w:rsidRDefault="00EE1A47" w:rsidP="0021272B">
            <w:pPr>
              <w:contextualSpacing/>
              <w:jc w:val="center"/>
              <w:rPr>
                <w:rFonts w:cstheme="minorHAnsi"/>
                <w:b/>
                <w:bCs/>
              </w:rPr>
            </w:pPr>
            <w:r>
              <w:rPr>
                <w:rFonts w:cstheme="minorHAnsi"/>
                <w:b/>
                <w:bCs/>
              </w:rPr>
              <w:t>2</w:t>
            </w:r>
            <w:r w:rsidR="00A92A74">
              <w:rPr>
                <w:rFonts w:cstheme="minorHAnsi"/>
                <w:b/>
                <w:bCs/>
              </w:rPr>
              <w:t>6</w:t>
            </w:r>
          </w:p>
        </w:tc>
        <w:tc>
          <w:tcPr>
            <w:tcW w:w="5500" w:type="dxa"/>
          </w:tcPr>
          <w:p w14:paraId="09274D58" w14:textId="19FD60B5" w:rsidR="00F628F7" w:rsidRPr="0071006D" w:rsidRDefault="00F628F7" w:rsidP="00B27173">
            <w:pPr>
              <w:contextualSpacing/>
              <w:jc w:val="both"/>
              <w:rPr>
                <w:rFonts w:cstheme="minorHAnsi"/>
              </w:rPr>
            </w:pPr>
            <w:r w:rsidRPr="0071006D">
              <w:rPr>
                <w:rFonts w:cstheme="minorHAnsi"/>
              </w:rPr>
              <w:t>Systém musí být certifikován CE a FDA.</w:t>
            </w:r>
          </w:p>
        </w:tc>
        <w:tc>
          <w:tcPr>
            <w:tcW w:w="1276" w:type="dxa"/>
            <w:vAlign w:val="center"/>
          </w:tcPr>
          <w:p w14:paraId="43CECEE2" w14:textId="77777777" w:rsidR="00F628F7" w:rsidRPr="009F5CCD" w:rsidRDefault="00F628F7" w:rsidP="0021272B">
            <w:pPr>
              <w:contextualSpacing/>
              <w:rPr>
                <w:rFonts w:cstheme="minorHAnsi"/>
              </w:rPr>
            </w:pPr>
          </w:p>
        </w:tc>
        <w:tc>
          <w:tcPr>
            <w:tcW w:w="2207" w:type="dxa"/>
            <w:vAlign w:val="center"/>
          </w:tcPr>
          <w:p w14:paraId="6FE38A7E" w14:textId="77777777" w:rsidR="00F628F7" w:rsidRPr="009F5CCD" w:rsidRDefault="00F628F7" w:rsidP="0021272B">
            <w:pPr>
              <w:contextualSpacing/>
              <w:rPr>
                <w:rFonts w:cstheme="minorHAnsi"/>
              </w:rPr>
            </w:pPr>
          </w:p>
        </w:tc>
      </w:tr>
      <w:tr w:rsidR="00710A80" w:rsidRPr="00763827" w14:paraId="5933A977" w14:textId="77777777" w:rsidTr="007A0E91">
        <w:trPr>
          <w:cantSplit/>
          <w:trHeight w:val="331"/>
          <w:jc w:val="center"/>
        </w:trPr>
        <w:tc>
          <w:tcPr>
            <w:tcW w:w="864" w:type="dxa"/>
            <w:tcBorders>
              <w:bottom w:val="single" w:sz="8" w:space="0" w:color="auto"/>
            </w:tcBorders>
            <w:vAlign w:val="center"/>
          </w:tcPr>
          <w:p w14:paraId="149FD6BF" w14:textId="2F48FFE2" w:rsidR="00710A80" w:rsidRDefault="00EE1A47" w:rsidP="0021272B">
            <w:pPr>
              <w:contextualSpacing/>
              <w:jc w:val="center"/>
              <w:rPr>
                <w:rFonts w:cstheme="minorHAnsi"/>
                <w:b/>
                <w:bCs/>
              </w:rPr>
            </w:pPr>
            <w:r>
              <w:rPr>
                <w:rFonts w:cstheme="minorHAnsi"/>
                <w:b/>
                <w:bCs/>
              </w:rPr>
              <w:t>2</w:t>
            </w:r>
            <w:r w:rsidR="00A92A74">
              <w:rPr>
                <w:rFonts w:cstheme="minorHAnsi"/>
                <w:b/>
                <w:bCs/>
              </w:rPr>
              <w:t>7</w:t>
            </w:r>
          </w:p>
        </w:tc>
        <w:tc>
          <w:tcPr>
            <w:tcW w:w="5500" w:type="dxa"/>
            <w:tcBorders>
              <w:bottom w:val="single" w:sz="8" w:space="0" w:color="auto"/>
            </w:tcBorders>
          </w:tcPr>
          <w:p w14:paraId="52FE2325" w14:textId="09D54574" w:rsidR="00710A80" w:rsidRPr="0071006D" w:rsidRDefault="00710A80" w:rsidP="00B27173">
            <w:pPr>
              <w:contextualSpacing/>
              <w:jc w:val="both"/>
              <w:rPr>
                <w:rFonts w:cstheme="minorHAnsi"/>
              </w:rPr>
            </w:pPr>
            <w:r w:rsidRPr="0071006D">
              <w:rPr>
                <w:rFonts w:cstheme="minorHAnsi"/>
              </w:rPr>
              <w:t xml:space="preserve">Certifikovaná doba použití </w:t>
            </w:r>
            <w:r w:rsidR="0071006D" w:rsidRPr="0071006D">
              <w:rPr>
                <w:rFonts w:cstheme="minorHAnsi"/>
              </w:rPr>
              <w:t>systému musí být alespoň 5 dnů</w:t>
            </w:r>
          </w:p>
        </w:tc>
        <w:tc>
          <w:tcPr>
            <w:tcW w:w="1276" w:type="dxa"/>
            <w:tcBorders>
              <w:bottom w:val="single" w:sz="8" w:space="0" w:color="auto"/>
            </w:tcBorders>
            <w:vAlign w:val="center"/>
          </w:tcPr>
          <w:p w14:paraId="7A972066" w14:textId="77777777" w:rsidR="00710A80" w:rsidRPr="009F5CCD" w:rsidRDefault="00710A80" w:rsidP="0021272B">
            <w:pPr>
              <w:contextualSpacing/>
              <w:rPr>
                <w:rFonts w:cstheme="minorHAnsi"/>
              </w:rPr>
            </w:pPr>
          </w:p>
        </w:tc>
        <w:tc>
          <w:tcPr>
            <w:tcW w:w="2207" w:type="dxa"/>
            <w:tcBorders>
              <w:bottom w:val="single" w:sz="8" w:space="0" w:color="auto"/>
            </w:tcBorders>
            <w:vAlign w:val="center"/>
          </w:tcPr>
          <w:p w14:paraId="12C2E0B8" w14:textId="77777777" w:rsidR="00710A80" w:rsidRPr="009F5CCD" w:rsidRDefault="00710A80" w:rsidP="0021272B">
            <w:pPr>
              <w:contextualSpacing/>
              <w:rPr>
                <w:rFonts w:cstheme="minorHAnsi"/>
              </w:rPr>
            </w:pPr>
          </w:p>
        </w:tc>
      </w:tr>
      <w:tr w:rsidR="00C562C4" w:rsidRPr="007A0E91" w14:paraId="7B0B66D6" w14:textId="77777777" w:rsidTr="007A0E91">
        <w:trPr>
          <w:cantSplit/>
          <w:trHeight w:val="331"/>
          <w:jc w:val="center"/>
        </w:trPr>
        <w:tc>
          <w:tcPr>
            <w:tcW w:w="9847" w:type="dxa"/>
            <w:gridSpan w:val="4"/>
            <w:tcBorders>
              <w:top w:val="single" w:sz="8" w:space="0" w:color="auto"/>
              <w:bottom w:val="single" w:sz="8" w:space="0" w:color="auto"/>
            </w:tcBorders>
            <w:shd w:val="clear" w:color="auto" w:fill="C6D9F1" w:themeFill="text2" w:themeFillTint="33"/>
            <w:vAlign w:val="center"/>
          </w:tcPr>
          <w:p w14:paraId="19700F65" w14:textId="0C89E71B" w:rsidR="00C562C4" w:rsidRPr="007A0E91" w:rsidRDefault="007A0E91" w:rsidP="0021272B">
            <w:pPr>
              <w:contextualSpacing/>
              <w:rPr>
                <w:rFonts w:cstheme="minorHAnsi"/>
                <w:b/>
                <w:bCs/>
              </w:rPr>
            </w:pPr>
            <w:r w:rsidRPr="007A0E91">
              <w:rPr>
                <w:rFonts w:cstheme="minorHAnsi"/>
                <w:b/>
                <w:bCs/>
              </w:rPr>
              <w:t>Další požadavky</w:t>
            </w:r>
          </w:p>
        </w:tc>
      </w:tr>
      <w:tr w:rsidR="00C562C4" w:rsidRPr="00763827" w14:paraId="5E5A142A" w14:textId="77777777" w:rsidTr="007A0E91">
        <w:trPr>
          <w:cantSplit/>
          <w:trHeight w:val="331"/>
          <w:jc w:val="center"/>
        </w:trPr>
        <w:tc>
          <w:tcPr>
            <w:tcW w:w="864" w:type="dxa"/>
            <w:tcBorders>
              <w:top w:val="single" w:sz="8" w:space="0" w:color="auto"/>
              <w:bottom w:val="single" w:sz="12" w:space="0" w:color="auto"/>
            </w:tcBorders>
            <w:vAlign w:val="center"/>
          </w:tcPr>
          <w:p w14:paraId="1CBC0FFA" w14:textId="2D2F0085" w:rsidR="00C562C4" w:rsidRDefault="007A0E91" w:rsidP="0021272B">
            <w:pPr>
              <w:contextualSpacing/>
              <w:jc w:val="center"/>
              <w:rPr>
                <w:rFonts w:cstheme="minorHAnsi"/>
                <w:b/>
                <w:bCs/>
              </w:rPr>
            </w:pPr>
            <w:r>
              <w:rPr>
                <w:rFonts w:cstheme="minorHAnsi"/>
                <w:b/>
                <w:bCs/>
              </w:rPr>
              <w:t>2</w:t>
            </w:r>
            <w:r w:rsidR="00A92A74">
              <w:rPr>
                <w:rFonts w:cstheme="minorHAnsi"/>
                <w:b/>
                <w:bCs/>
              </w:rPr>
              <w:t>8</w:t>
            </w:r>
          </w:p>
        </w:tc>
        <w:tc>
          <w:tcPr>
            <w:tcW w:w="5500" w:type="dxa"/>
            <w:tcBorders>
              <w:top w:val="single" w:sz="8" w:space="0" w:color="auto"/>
              <w:bottom w:val="single" w:sz="12" w:space="0" w:color="auto"/>
            </w:tcBorders>
          </w:tcPr>
          <w:p w14:paraId="75BD9F8A" w14:textId="6AA1191C" w:rsidR="00C562C4" w:rsidRPr="0071006D" w:rsidRDefault="001821A7" w:rsidP="00B27173">
            <w:pPr>
              <w:contextualSpacing/>
              <w:jc w:val="both"/>
              <w:rPr>
                <w:rFonts w:cstheme="minorHAnsi"/>
              </w:rPr>
            </w:pPr>
            <w:r w:rsidRPr="001821A7">
              <w:rPr>
                <w:rFonts w:cstheme="minorHAnsi"/>
                <w:bCs/>
              </w:rPr>
              <w:t>V dodávce budou obsaženy přístroje, příslušenství, software i spotřební materiál (který je součástí dodávky) ve verzi, která je pro daný typ výrobku aktuální (poslední)</w:t>
            </w:r>
          </w:p>
        </w:tc>
        <w:tc>
          <w:tcPr>
            <w:tcW w:w="1276" w:type="dxa"/>
            <w:tcBorders>
              <w:top w:val="single" w:sz="8" w:space="0" w:color="auto"/>
              <w:bottom w:val="single" w:sz="12" w:space="0" w:color="auto"/>
            </w:tcBorders>
            <w:vAlign w:val="center"/>
          </w:tcPr>
          <w:p w14:paraId="069E7A68" w14:textId="77777777" w:rsidR="00C562C4" w:rsidRPr="009F5CCD" w:rsidRDefault="00C562C4" w:rsidP="0021272B">
            <w:pPr>
              <w:contextualSpacing/>
              <w:rPr>
                <w:rFonts w:cstheme="minorHAnsi"/>
              </w:rPr>
            </w:pPr>
          </w:p>
        </w:tc>
        <w:tc>
          <w:tcPr>
            <w:tcW w:w="2207" w:type="dxa"/>
            <w:tcBorders>
              <w:top w:val="single" w:sz="8" w:space="0" w:color="auto"/>
              <w:bottom w:val="single" w:sz="12" w:space="0" w:color="auto"/>
            </w:tcBorders>
            <w:vAlign w:val="center"/>
          </w:tcPr>
          <w:p w14:paraId="08CA9245" w14:textId="77777777" w:rsidR="00C562C4" w:rsidRPr="009F5CCD" w:rsidRDefault="00C562C4" w:rsidP="0021272B">
            <w:pPr>
              <w:contextualSpacing/>
              <w:rPr>
                <w:rFonts w:cstheme="minorHAnsi"/>
              </w:rPr>
            </w:pPr>
          </w:p>
        </w:tc>
      </w:tr>
    </w:tbl>
    <w:p w14:paraId="203617D2" w14:textId="77777777" w:rsidR="00D70EC7" w:rsidRDefault="00D70EC7" w:rsidP="00D70EC7">
      <w:pPr>
        <w:spacing w:after="0"/>
        <w:jc w:val="both"/>
        <w:rPr>
          <w:sz w:val="20"/>
          <w:szCs w:val="20"/>
        </w:rPr>
      </w:pPr>
    </w:p>
    <w:p w14:paraId="01D3E1E7" w14:textId="12995A9E" w:rsidR="00D3740E" w:rsidRPr="00D70EC7" w:rsidRDefault="00D70EC7" w:rsidP="00D70EC7">
      <w:pPr>
        <w:spacing w:after="0"/>
        <w:jc w:val="both"/>
        <w:rPr>
          <w:i/>
          <w:iCs/>
          <w:sz w:val="20"/>
          <w:szCs w:val="20"/>
        </w:rPr>
      </w:pPr>
      <w:r w:rsidRPr="00D70EC7">
        <w:rPr>
          <w:i/>
          <w:iCs/>
          <w:sz w:val="20"/>
          <w:szCs w:val="20"/>
        </w:rPr>
        <w:t>Poznámka: Použití firemních názvů či termínů či způsobů řešení specifických pro určitého výrobce má pouze ilustrovat příklady vhodných řešení, ale požadavek není omezen na nabídky jen těchto takto uvedených řešení. Dodavatel je oprávněn navrhnout i jiné, technicky a kvalitativně obdobné řešení, které musí splňovat požadovaný medicínský účel, technické a funkční požadavky zadavatele uvedené v zadávací dokumentaci.</w:t>
      </w:r>
    </w:p>
    <w:p w14:paraId="3D15C701" w14:textId="77777777" w:rsidR="00D3740E" w:rsidRDefault="00D3740E" w:rsidP="00FC1BDD">
      <w:pPr>
        <w:pStyle w:val="Odstavecseseznamem"/>
        <w:spacing w:after="0"/>
        <w:jc w:val="both"/>
      </w:pPr>
    </w:p>
    <w:sectPr w:rsidR="00D3740E" w:rsidSect="00190ADD">
      <w:headerReference w:type="default" r:id="rId11"/>
      <w:footerReference w:type="default" r:id="rId12"/>
      <w:pgSz w:w="11906" w:h="16838"/>
      <w:pgMar w:top="1675" w:right="1417" w:bottom="1843" w:left="1843"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315A1" w14:textId="77777777" w:rsidR="003766A2" w:rsidRDefault="003766A2" w:rsidP="008A015B">
      <w:pPr>
        <w:spacing w:after="0" w:line="240" w:lineRule="auto"/>
      </w:pPr>
      <w:r>
        <w:separator/>
      </w:r>
    </w:p>
  </w:endnote>
  <w:endnote w:type="continuationSeparator" w:id="0">
    <w:p w14:paraId="3ADC57C7" w14:textId="77777777" w:rsidR="003766A2" w:rsidRDefault="003766A2" w:rsidP="008A015B">
      <w:pPr>
        <w:spacing w:after="0" w:line="240" w:lineRule="auto"/>
      </w:pPr>
      <w:r>
        <w:continuationSeparator/>
      </w:r>
    </w:p>
  </w:endnote>
  <w:endnote w:type="continuationNotice" w:id="1">
    <w:p w14:paraId="1BABF125" w14:textId="77777777" w:rsidR="003766A2" w:rsidRDefault="003766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C579" w14:textId="77777777" w:rsidR="009826DB" w:rsidRDefault="009826DB">
    <w:pPr>
      <w:pStyle w:val="Zpat"/>
      <w:jc w:val="right"/>
    </w:pPr>
    <w:r>
      <w:t xml:space="preserve">str. </w:t>
    </w:r>
    <w:sdt>
      <w:sdtPr>
        <w:id w:val="493231204"/>
        <w:docPartObj>
          <w:docPartGallery w:val="Page Numbers (Bottom of Page)"/>
          <w:docPartUnique/>
        </w:docPartObj>
      </w:sdtPr>
      <w:sdtContent>
        <w:r>
          <w:fldChar w:fldCharType="begin"/>
        </w:r>
        <w:r>
          <w:instrText>PAGE   \* MERGEFORMAT</w:instrText>
        </w:r>
        <w:r>
          <w:fldChar w:fldCharType="separate"/>
        </w:r>
        <w:r w:rsidR="0082202E">
          <w:rPr>
            <w:noProof/>
          </w:rPr>
          <w:t>3</w:t>
        </w:r>
        <w:r>
          <w:fldChar w:fldCharType="end"/>
        </w:r>
      </w:sdtContent>
    </w:sdt>
  </w:p>
  <w:p w14:paraId="36FE87B4" w14:textId="77777777" w:rsidR="009826DB" w:rsidRDefault="009826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1DD19" w14:textId="77777777" w:rsidR="003766A2" w:rsidRDefault="003766A2" w:rsidP="008A015B">
      <w:pPr>
        <w:spacing w:after="0" w:line="240" w:lineRule="auto"/>
      </w:pPr>
      <w:r>
        <w:separator/>
      </w:r>
    </w:p>
  </w:footnote>
  <w:footnote w:type="continuationSeparator" w:id="0">
    <w:p w14:paraId="18608087" w14:textId="77777777" w:rsidR="003766A2" w:rsidRDefault="003766A2" w:rsidP="008A015B">
      <w:pPr>
        <w:spacing w:after="0" w:line="240" w:lineRule="auto"/>
      </w:pPr>
      <w:r>
        <w:continuationSeparator/>
      </w:r>
    </w:p>
  </w:footnote>
  <w:footnote w:type="continuationNotice" w:id="1">
    <w:p w14:paraId="3D4ADA80" w14:textId="77777777" w:rsidR="003766A2" w:rsidRDefault="003766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6224B" w14:textId="77777777" w:rsidR="008A015B" w:rsidRDefault="008A015B" w:rsidP="008A015B">
    <w:pPr>
      <w:pStyle w:val="Zhlav"/>
      <w:tabs>
        <w:tab w:val="clear" w:pos="4536"/>
        <w:tab w:val="clear" w:pos="9072"/>
        <w:tab w:val="left" w:pos="1662"/>
      </w:tabs>
    </w:pPr>
    <w:r w:rsidRPr="00715207">
      <w:rPr>
        <w:rFonts w:ascii="Arial" w:eastAsia="Times New Roman" w:hAnsi="Arial"/>
        <w:noProof/>
        <w:sz w:val="20"/>
        <w:szCs w:val="24"/>
        <w:lang w:eastAsia="cs-CZ"/>
      </w:rPr>
      <w:drawing>
        <wp:anchor distT="0" distB="0" distL="114300" distR="114300" simplePos="0" relativeHeight="251658240" behindDoc="1" locked="0" layoutInCell="1" allowOverlap="1" wp14:anchorId="5F01FDA8" wp14:editId="6A6D07B2">
          <wp:simplePos x="0" y="0"/>
          <wp:positionH relativeFrom="margin">
            <wp:posOffset>97790</wp:posOffset>
          </wp:positionH>
          <wp:positionV relativeFrom="paragraph">
            <wp:posOffset>-123825</wp:posOffset>
          </wp:positionV>
          <wp:extent cx="627380" cy="603250"/>
          <wp:effectExtent l="0" t="0" r="1270" b="6350"/>
          <wp:wrapNone/>
          <wp:docPr id="14" name="obrázek 9" descr="Logo nemji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nemji 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380" cy="60325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r>
      <w:tab/>
    </w:r>
    <w:r>
      <w:tab/>
    </w:r>
  </w:p>
  <w:p w14:paraId="4C7E6CD0" w14:textId="77777777" w:rsidR="001A7865" w:rsidRDefault="008A015B" w:rsidP="001A7865">
    <w:pPr>
      <w:pStyle w:val="Zhlav"/>
      <w:tabs>
        <w:tab w:val="clear" w:pos="4536"/>
        <w:tab w:val="clear" w:pos="9072"/>
        <w:tab w:val="left" w:pos="1662"/>
      </w:tabs>
      <w:jc w:val="right"/>
    </w:pPr>
    <w:r>
      <w:tab/>
    </w:r>
    <w:r>
      <w:tab/>
    </w:r>
    <w:r>
      <w:tab/>
    </w:r>
    <w:r>
      <w:tab/>
    </w:r>
    <w:r>
      <w:tab/>
    </w:r>
    <w:r>
      <w:tab/>
    </w:r>
    <w:r>
      <w:tab/>
      <w:t xml:space="preserve">          </w:t>
    </w:r>
  </w:p>
  <w:p w14:paraId="2921520A" w14:textId="091A5462" w:rsidR="008A015B" w:rsidRPr="008A015B" w:rsidRDefault="006E5EFD" w:rsidP="001A7865">
    <w:pPr>
      <w:pStyle w:val="Zhlav"/>
      <w:tabs>
        <w:tab w:val="clear" w:pos="4536"/>
        <w:tab w:val="clear" w:pos="9072"/>
        <w:tab w:val="left" w:pos="1662"/>
      </w:tabs>
      <w:jc w:val="right"/>
      <w:rPr>
        <w:b/>
        <w:sz w:val="20"/>
        <w:szCs w:val="20"/>
      </w:rPr>
    </w:pPr>
    <w:r>
      <w:rPr>
        <w:b/>
        <w:sz w:val="20"/>
        <w:szCs w:val="20"/>
      </w:rPr>
      <w:t xml:space="preserve">Příloha č. </w:t>
    </w:r>
    <w:r w:rsidR="00A35CE4">
      <w:rPr>
        <w:b/>
        <w:sz w:val="20"/>
        <w:szCs w:val="20"/>
      </w:rPr>
      <w:t>4</w:t>
    </w:r>
    <w:r w:rsidR="008A015B" w:rsidRPr="008A015B">
      <w:rPr>
        <w:b/>
        <w:sz w:val="20"/>
        <w:szCs w:val="20"/>
      </w:rPr>
      <w:t xml:space="preserve"> </w:t>
    </w:r>
    <w:r w:rsidR="00587013">
      <w:rPr>
        <w:b/>
        <w:sz w:val="20"/>
        <w:szCs w:val="20"/>
      </w:rPr>
      <w:t>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1137"/>
    <w:multiLevelType w:val="hybridMultilevel"/>
    <w:tmpl w:val="554486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C24A49"/>
    <w:multiLevelType w:val="hybridMultilevel"/>
    <w:tmpl w:val="F416A7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A375518"/>
    <w:multiLevelType w:val="multilevel"/>
    <w:tmpl w:val="2BC6B1E4"/>
    <w:lvl w:ilvl="0">
      <w:start w:val="1"/>
      <w:numFmt w:val="bullet"/>
      <w:lvlText w:val=""/>
      <w:lvlJc w:val="left"/>
      <w:pPr>
        <w:ind w:left="360" w:hanging="360"/>
      </w:pPr>
      <w:rPr>
        <w:rFonts w:ascii="Symbol" w:hAnsi="Symbol" w:cs="Symbol" w:hint="default"/>
        <w:b/>
        <w:sz w:val="20"/>
      </w:rPr>
    </w:lvl>
    <w:lvl w:ilvl="1">
      <w:start w:val="1"/>
      <w:numFmt w:val="bullet"/>
      <w:lvlText w:val=""/>
      <w:lvlJc w:val="left"/>
      <w:pPr>
        <w:ind w:left="1080" w:hanging="360"/>
      </w:pPr>
      <w:rPr>
        <w:rFonts w:ascii="Symbol" w:hAnsi="Symbol" w:hint="default"/>
        <w:b/>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b/>
        <w:sz w:val="20"/>
      </w:rPr>
    </w:lvl>
    <w:lvl w:ilvl="4">
      <w:start w:val="1"/>
      <w:numFmt w:val="bullet"/>
      <w:lvlText w:val="o"/>
      <w:lvlJc w:val="left"/>
      <w:pPr>
        <w:ind w:left="3240" w:hanging="360"/>
      </w:pPr>
      <w:rPr>
        <w:rFonts w:ascii="Courier New" w:hAnsi="Courier New" w:cs="Courier New" w:hint="default"/>
        <w:b/>
        <w:sz w:val="20"/>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b/>
        <w:sz w:val="20"/>
      </w:rPr>
    </w:lvl>
    <w:lvl w:ilvl="7">
      <w:start w:val="1"/>
      <w:numFmt w:val="bullet"/>
      <w:lvlText w:val="o"/>
      <w:lvlJc w:val="left"/>
      <w:pPr>
        <w:ind w:left="5400" w:hanging="360"/>
      </w:pPr>
      <w:rPr>
        <w:rFonts w:ascii="Courier New" w:hAnsi="Courier New" w:cs="Courier New" w:hint="default"/>
        <w:b/>
        <w:sz w:val="20"/>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1C2A24E3"/>
    <w:multiLevelType w:val="hybridMultilevel"/>
    <w:tmpl w:val="3C12EE72"/>
    <w:lvl w:ilvl="0" w:tplc="05FE5910">
      <w:start w:val="1"/>
      <w:numFmt w:val="bullet"/>
      <w:lvlText w:val="-"/>
      <w:lvlJc w:val="left"/>
      <w:pPr>
        <w:ind w:left="720" w:hanging="360"/>
      </w:pPr>
      <w:rPr>
        <w:rFonts w:ascii="Arial" w:eastAsia="Arial Unicode MS"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EF55278"/>
    <w:multiLevelType w:val="hybridMultilevel"/>
    <w:tmpl w:val="3C1451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64841B8"/>
    <w:multiLevelType w:val="hybridMultilevel"/>
    <w:tmpl w:val="E202EF56"/>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F94776"/>
    <w:multiLevelType w:val="hybridMultilevel"/>
    <w:tmpl w:val="7D0E2A26"/>
    <w:lvl w:ilvl="0" w:tplc="04050005">
      <w:start w:val="1"/>
      <w:numFmt w:val="bullet"/>
      <w:lvlText w:val=""/>
      <w:lvlJc w:val="left"/>
      <w:pPr>
        <w:ind w:left="501" w:hanging="360"/>
      </w:pPr>
      <w:rPr>
        <w:rFonts w:ascii="Wingdings" w:hAnsi="Wingdings" w:hint="default"/>
      </w:rPr>
    </w:lvl>
    <w:lvl w:ilvl="1" w:tplc="04050003" w:tentative="1">
      <w:start w:val="1"/>
      <w:numFmt w:val="bullet"/>
      <w:lvlText w:val="o"/>
      <w:lvlJc w:val="left"/>
      <w:pPr>
        <w:ind w:left="1221" w:hanging="360"/>
      </w:pPr>
      <w:rPr>
        <w:rFonts w:ascii="Courier New" w:hAnsi="Courier New" w:cs="Courier New" w:hint="default"/>
      </w:rPr>
    </w:lvl>
    <w:lvl w:ilvl="2" w:tplc="04050005" w:tentative="1">
      <w:start w:val="1"/>
      <w:numFmt w:val="bullet"/>
      <w:lvlText w:val=""/>
      <w:lvlJc w:val="left"/>
      <w:pPr>
        <w:ind w:left="1941" w:hanging="360"/>
      </w:pPr>
      <w:rPr>
        <w:rFonts w:ascii="Wingdings" w:hAnsi="Wingdings" w:hint="default"/>
      </w:rPr>
    </w:lvl>
    <w:lvl w:ilvl="3" w:tplc="04050001" w:tentative="1">
      <w:start w:val="1"/>
      <w:numFmt w:val="bullet"/>
      <w:lvlText w:val=""/>
      <w:lvlJc w:val="left"/>
      <w:pPr>
        <w:ind w:left="2661" w:hanging="360"/>
      </w:pPr>
      <w:rPr>
        <w:rFonts w:ascii="Symbol" w:hAnsi="Symbol" w:hint="default"/>
      </w:rPr>
    </w:lvl>
    <w:lvl w:ilvl="4" w:tplc="04050003" w:tentative="1">
      <w:start w:val="1"/>
      <w:numFmt w:val="bullet"/>
      <w:lvlText w:val="o"/>
      <w:lvlJc w:val="left"/>
      <w:pPr>
        <w:ind w:left="3381" w:hanging="360"/>
      </w:pPr>
      <w:rPr>
        <w:rFonts w:ascii="Courier New" w:hAnsi="Courier New" w:cs="Courier New" w:hint="default"/>
      </w:rPr>
    </w:lvl>
    <w:lvl w:ilvl="5" w:tplc="04050005" w:tentative="1">
      <w:start w:val="1"/>
      <w:numFmt w:val="bullet"/>
      <w:lvlText w:val=""/>
      <w:lvlJc w:val="left"/>
      <w:pPr>
        <w:ind w:left="4101" w:hanging="360"/>
      </w:pPr>
      <w:rPr>
        <w:rFonts w:ascii="Wingdings" w:hAnsi="Wingdings" w:hint="default"/>
      </w:rPr>
    </w:lvl>
    <w:lvl w:ilvl="6" w:tplc="04050001" w:tentative="1">
      <w:start w:val="1"/>
      <w:numFmt w:val="bullet"/>
      <w:lvlText w:val=""/>
      <w:lvlJc w:val="left"/>
      <w:pPr>
        <w:ind w:left="4821" w:hanging="360"/>
      </w:pPr>
      <w:rPr>
        <w:rFonts w:ascii="Symbol" w:hAnsi="Symbol" w:hint="default"/>
      </w:rPr>
    </w:lvl>
    <w:lvl w:ilvl="7" w:tplc="04050003" w:tentative="1">
      <w:start w:val="1"/>
      <w:numFmt w:val="bullet"/>
      <w:lvlText w:val="o"/>
      <w:lvlJc w:val="left"/>
      <w:pPr>
        <w:ind w:left="5541" w:hanging="360"/>
      </w:pPr>
      <w:rPr>
        <w:rFonts w:ascii="Courier New" w:hAnsi="Courier New" w:cs="Courier New" w:hint="default"/>
      </w:rPr>
    </w:lvl>
    <w:lvl w:ilvl="8" w:tplc="04050005" w:tentative="1">
      <w:start w:val="1"/>
      <w:numFmt w:val="bullet"/>
      <w:lvlText w:val=""/>
      <w:lvlJc w:val="left"/>
      <w:pPr>
        <w:ind w:left="6261" w:hanging="360"/>
      </w:pPr>
      <w:rPr>
        <w:rFonts w:ascii="Wingdings" w:hAnsi="Wingdings" w:hint="default"/>
      </w:rPr>
    </w:lvl>
  </w:abstractNum>
  <w:abstractNum w:abstractNumId="7" w15:restartNumberingAfterBreak="0">
    <w:nsid w:val="30252E7F"/>
    <w:multiLevelType w:val="hybridMultilevel"/>
    <w:tmpl w:val="ED0226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8317EA3"/>
    <w:multiLevelType w:val="hybridMultilevel"/>
    <w:tmpl w:val="EDE4E71C"/>
    <w:lvl w:ilvl="0" w:tplc="23FAAC2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DDD79CB"/>
    <w:multiLevelType w:val="hybridMultilevel"/>
    <w:tmpl w:val="6884F3C0"/>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EC3880"/>
    <w:multiLevelType w:val="hybridMultilevel"/>
    <w:tmpl w:val="7DBAE18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9B6755F"/>
    <w:multiLevelType w:val="hybridMultilevel"/>
    <w:tmpl w:val="D8A00554"/>
    <w:lvl w:ilvl="0" w:tplc="08D42FC6">
      <w:numFmt w:val="bullet"/>
      <w:lvlText w:val="-"/>
      <w:lvlJc w:val="left"/>
      <w:pPr>
        <w:tabs>
          <w:tab w:val="num" w:pos="720"/>
        </w:tabs>
        <w:ind w:left="720" w:hanging="360"/>
      </w:pPr>
      <w:rPr>
        <w:rFonts w:ascii="Times New Roman" w:eastAsia="Times New Roman" w:hAnsi="Times New Roman" w:cs="Times New Roman" w:hint="default"/>
      </w:rPr>
    </w:lvl>
    <w:lvl w:ilvl="1" w:tplc="04FE0066" w:tentative="1">
      <w:start w:val="1"/>
      <w:numFmt w:val="bullet"/>
      <w:lvlText w:val="o"/>
      <w:lvlJc w:val="left"/>
      <w:pPr>
        <w:tabs>
          <w:tab w:val="num" w:pos="1440"/>
        </w:tabs>
        <w:ind w:left="1440" w:hanging="360"/>
      </w:pPr>
      <w:rPr>
        <w:rFonts w:ascii="Courier New" w:hAnsi="Courier New" w:hint="default"/>
      </w:rPr>
    </w:lvl>
    <w:lvl w:ilvl="2" w:tplc="853A9876" w:tentative="1">
      <w:start w:val="1"/>
      <w:numFmt w:val="bullet"/>
      <w:lvlText w:val=""/>
      <w:lvlJc w:val="left"/>
      <w:pPr>
        <w:tabs>
          <w:tab w:val="num" w:pos="2160"/>
        </w:tabs>
        <w:ind w:left="2160" w:hanging="360"/>
      </w:pPr>
      <w:rPr>
        <w:rFonts w:ascii="Wingdings" w:hAnsi="Wingdings" w:hint="default"/>
      </w:rPr>
    </w:lvl>
    <w:lvl w:ilvl="3" w:tplc="8B4C7A8A" w:tentative="1">
      <w:start w:val="1"/>
      <w:numFmt w:val="bullet"/>
      <w:lvlText w:val=""/>
      <w:lvlJc w:val="left"/>
      <w:pPr>
        <w:tabs>
          <w:tab w:val="num" w:pos="2880"/>
        </w:tabs>
        <w:ind w:left="2880" w:hanging="360"/>
      </w:pPr>
      <w:rPr>
        <w:rFonts w:ascii="Symbol" w:hAnsi="Symbol" w:hint="default"/>
      </w:rPr>
    </w:lvl>
    <w:lvl w:ilvl="4" w:tplc="7BC231EC" w:tentative="1">
      <w:start w:val="1"/>
      <w:numFmt w:val="bullet"/>
      <w:lvlText w:val="o"/>
      <w:lvlJc w:val="left"/>
      <w:pPr>
        <w:tabs>
          <w:tab w:val="num" w:pos="3600"/>
        </w:tabs>
        <w:ind w:left="3600" w:hanging="360"/>
      </w:pPr>
      <w:rPr>
        <w:rFonts w:ascii="Courier New" w:hAnsi="Courier New" w:hint="default"/>
      </w:rPr>
    </w:lvl>
    <w:lvl w:ilvl="5" w:tplc="80E8A34C" w:tentative="1">
      <w:start w:val="1"/>
      <w:numFmt w:val="bullet"/>
      <w:lvlText w:val=""/>
      <w:lvlJc w:val="left"/>
      <w:pPr>
        <w:tabs>
          <w:tab w:val="num" w:pos="4320"/>
        </w:tabs>
        <w:ind w:left="4320" w:hanging="360"/>
      </w:pPr>
      <w:rPr>
        <w:rFonts w:ascii="Wingdings" w:hAnsi="Wingdings" w:hint="default"/>
      </w:rPr>
    </w:lvl>
    <w:lvl w:ilvl="6" w:tplc="1C0448C0" w:tentative="1">
      <w:start w:val="1"/>
      <w:numFmt w:val="bullet"/>
      <w:lvlText w:val=""/>
      <w:lvlJc w:val="left"/>
      <w:pPr>
        <w:tabs>
          <w:tab w:val="num" w:pos="5040"/>
        </w:tabs>
        <w:ind w:left="5040" w:hanging="360"/>
      </w:pPr>
      <w:rPr>
        <w:rFonts w:ascii="Symbol" w:hAnsi="Symbol" w:hint="default"/>
      </w:rPr>
    </w:lvl>
    <w:lvl w:ilvl="7" w:tplc="84506154" w:tentative="1">
      <w:start w:val="1"/>
      <w:numFmt w:val="bullet"/>
      <w:lvlText w:val="o"/>
      <w:lvlJc w:val="left"/>
      <w:pPr>
        <w:tabs>
          <w:tab w:val="num" w:pos="5760"/>
        </w:tabs>
        <w:ind w:left="5760" w:hanging="360"/>
      </w:pPr>
      <w:rPr>
        <w:rFonts w:ascii="Courier New" w:hAnsi="Courier New" w:hint="default"/>
      </w:rPr>
    </w:lvl>
    <w:lvl w:ilvl="8" w:tplc="2B64F36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3F4408"/>
    <w:multiLevelType w:val="hybridMultilevel"/>
    <w:tmpl w:val="37AC2F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09739BE"/>
    <w:multiLevelType w:val="hybridMultilevel"/>
    <w:tmpl w:val="FB4ACD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D017FCB"/>
    <w:multiLevelType w:val="hybridMultilevel"/>
    <w:tmpl w:val="A114110A"/>
    <w:lvl w:ilvl="0" w:tplc="04050005">
      <w:start w:val="1"/>
      <w:numFmt w:val="bullet"/>
      <w:lvlText w:val=""/>
      <w:lvlJc w:val="left"/>
      <w:pPr>
        <w:ind w:left="1120" w:hanging="360"/>
      </w:pPr>
      <w:rPr>
        <w:rFonts w:ascii="Wingdings" w:hAnsi="Wingdings" w:hint="default"/>
      </w:rPr>
    </w:lvl>
    <w:lvl w:ilvl="1" w:tplc="04050003" w:tentative="1">
      <w:start w:val="1"/>
      <w:numFmt w:val="bullet"/>
      <w:lvlText w:val="o"/>
      <w:lvlJc w:val="left"/>
      <w:pPr>
        <w:ind w:left="1840" w:hanging="360"/>
      </w:pPr>
      <w:rPr>
        <w:rFonts w:ascii="Courier New" w:hAnsi="Courier New" w:cs="Courier New" w:hint="default"/>
      </w:rPr>
    </w:lvl>
    <w:lvl w:ilvl="2" w:tplc="04050005" w:tentative="1">
      <w:start w:val="1"/>
      <w:numFmt w:val="bullet"/>
      <w:lvlText w:val=""/>
      <w:lvlJc w:val="left"/>
      <w:pPr>
        <w:ind w:left="2560" w:hanging="360"/>
      </w:pPr>
      <w:rPr>
        <w:rFonts w:ascii="Wingdings" w:hAnsi="Wingdings" w:hint="default"/>
      </w:rPr>
    </w:lvl>
    <w:lvl w:ilvl="3" w:tplc="04050001" w:tentative="1">
      <w:start w:val="1"/>
      <w:numFmt w:val="bullet"/>
      <w:lvlText w:val=""/>
      <w:lvlJc w:val="left"/>
      <w:pPr>
        <w:ind w:left="3280" w:hanging="360"/>
      </w:pPr>
      <w:rPr>
        <w:rFonts w:ascii="Symbol" w:hAnsi="Symbol" w:hint="default"/>
      </w:rPr>
    </w:lvl>
    <w:lvl w:ilvl="4" w:tplc="04050003" w:tentative="1">
      <w:start w:val="1"/>
      <w:numFmt w:val="bullet"/>
      <w:lvlText w:val="o"/>
      <w:lvlJc w:val="left"/>
      <w:pPr>
        <w:ind w:left="4000" w:hanging="360"/>
      </w:pPr>
      <w:rPr>
        <w:rFonts w:ascii="Courier New" w:hAnsi="Courier New" w:cs="Courier New" w:hint="default"/>
      </w:rPr>
    </w:lvl>
    <w:lvl w:ilvl="5" w:tplc="04050005" w:tentative="1">
      <w:start w:val="1"/>
      <w:numFmt w:val="bullet"/>
      <w:lvlText w:val=""/>
      <w:lvlJc w:val="left"/>
      <w:pPr>
        <w:ind w:left="4720" w:hanging="360"/>
      </w:pPr>
      <w:rPr>
        <w:rFonts w:ascii="Wingdings" w:hAnsi="Wingdings" w:hint="default"/>
      </w:rPr>
    </w:lvl>
    <w:lvl w:ilvl="6" w:tplc="04050001" w:tentative="1">
      <w:start w:val="1"/>
      <w:numFmt w:val="bullet"/>
      <w:lvlText w:val=""/>
      <w:lvlJc w:val="left"/>
      <w:pPr>
        <w:ind w:left="5440" w:hanging="360"/>
      </w:pPr>
      <w:rPr>
        <w:rFonts w:ascii="Symbol" w:hAnsi="Symbol" w:hint="default"/>
      </w:rPr>
    </w:lvl>
    <w:lvl w:ilvl="7" w:tplc="04050003" w:tentative="1">
      <w:start w:val="1"/>
      <w:numFmt w:val="bullet"/>
      <w:lvlText w:val="o"/>
      <w:lvlJc w:val="left"/>
      <w:pPr>
        <w:ind w:left="6160" w:hanging="360"/>
      </w:pPr>
      <w:rPr>
        <w:rFonts w:ascii="Courier New" w:hAnsi="Courier New" w:cs="Courier New" w:hint="default"/>
      </w:rPr>
    </w:lvl>
    <w:lvl w:ilvl="8" w:tplc="04050005" w:tentative="1">
      <w:start w:val="1"/>
      <w:numFmt w:val="bullet"/>
      <w:lvlText w:val=""/>
      <w:lvlJc w:val="left"/>
      <w:pPr>
        <w:ind w:left="6880" w:hanging="360"/>
      </w:pPr>
      <w:rPr>
        <w:rFonts w:ascii="Wingdings" w:hAnsi="Wingdings" w:hint="default"/>
      </w:rPr>
    </w:lvl>
  </w:abstractNum>
  <w:abstractNum w:abstractNumId="15" w15:restartNumberingAfterBreak="0">
    <w:nsid w:val="77A432C7"/>
    <w:multiLevelType w:val="hybridMultilevel"/>
    <w:tmpl w:val="7F6819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96577B7"/>
    <w:multiLevelType w:val="hybridMultilevel"/>
    <w:tmpl w:val="180606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67876133">
    <w:abstractNumId w:val="2"/>
  </w:num>
  <w:num w:numId="2" w16cid:durableId="1580555889">
    <w:abstractNumId w:val="13"/>
  </w:num>
  <w:num w:numId="3" w16cid:durableId="1814829100">
    <w:abstractNumId w:val="6"/>
  </w:num>
  <w:num w:numId="4" w16cid:durableId="1456364155">
    <w:abstractNumId w:val="9"/>
  </w:num>
  <w:num w:numId="5" w16cid:durableId="1497962440">
    <w:abstractNumId w:val="5"/>
  </w:num>
  <w:num w:numId="6" w16cid:durableId="105850511">
    <w:abstractNumId w:val="3"/>
  </w:num>
  <w:num w:numId="7" w16cid:durableId="1677536131">
    <w:abstractNumId w:val="14"/>
  </w:num>
  <w:num w:numId="8" w16cid:durableId="1553035535">
    <w:abstractNumId w:val="10"/>
  </w:num>
  <w:num w:numId="9" w16cid:durableId="1191796276">
    <w:abstractNumId w:val="16"/>
  </w:num>
  <w:num w:numId="10" w16cid:durableId="979581027">
    <w:abstractNumId w:val="15"/>
  </w:num>
  <w:num w:numId="11" w16cid:durableId="443811574">
    <w:abstractNumId w:val="4"/>
  </w:num>
  <w:num w:numId="12" w16cid:durableId="1164928877">
    <w:abstractNumId w:val="11"/>
  </w:num>
  <w:num w:numId="13" w16cid:durableId="1169324090">
    <w:abstractNumId w:val="12"/>
  </w:num>
  <w:num w:numId="14" w16cid:durableId="1503425766">
    <w:abstractNumId w:val="8"/>
  </w:num>
  <w:num w:numId="15" w16cid:durableId="1089276795">
    <w:abstractNumId w:val="1"/>
  </w:num>
  <w:num w:numId="16" w16cid:durableId="119307286">
    <w:abstractNumId w:val="7"/>
  </w:num>
  <w:num w:numId="17" w16cid:durableId="988022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15B"/>
    <w:rsid w:val="00003B8A"/>
    <w:rsid w:val="00003F90"/>
    <w:rsid w:val="00005B96"/>
    <w:rsid w:val="00010FB5"/>
    <w:rsid w:val="00011054"/>
    <w:rsid w:val="0001368A"/>
    <w:rsid w:val="00013D6D"/>
    <w:rsid w:val="00020AAF"/>
    <w:rsid w:val="00022147"/>
    <w:rsid w:val="00023728"/>
    <w:rsid w:val="00023B2B"/>
    <w:rsid w:val="00033916"/>
    <w:rsid w:val="00050956"/>
    <w:rsid w:val="0005757F"/>
    <w:rsid w:val="00064074"/>
    <w:rsid w:val="00064313"/>
    <w:rsid w:val="00064C32"/>
    <w:rsid w:val="000725B9"/>
    <w:rsid w:val="00075B0E"/>
    <w:rsid w:val="00083F4C"/>
    <w:rsid w:val="00085C06"/>
    <w:rsid w:val="000868F3"/>
    <w:rsid w:val="000870BE"/>
    <w:rsid w:val="0008751E"/>
    <w:rsid w:val="000903C6"/>
    <w:rsid w:val="00093F59"/>
    <w:rsid w:val="000B5F70"/>
    <w:rsid w:val="000C48F5"/>
    <w:rsid w:val="000C6DF9"/>
    <w:rsid w:val="000D3131"/>
    <w:rsid w:val="000D3D15"/>
    <w:rsid w:val="000E14A9"/>
    <w:rsid w:val="000E3558"/>
    <w:rsid w:val="000E72A4"/>
    <w:rsid w:val="000F163D"/>
    <w:rsid w:val="000F23DB"/>
    <w:rsid w:val="000F59FB"/>
    <w:rsid w:val="00106A86"/>
    <w:rsid w:val="00107C8B"/>
    <w:rsid w:val="00115719"/>
    <w:rsid w:val="001158FA"/>
    <w:rsid w:val="0011738E"/>
    <w:rsid w:val="0012270B"/>
    <w:rsid w:val="0012293A"/>
    <w:rsid w:val="00124573"/>
    <w:rsid w:val="00125C1A"/>
    <w:rsid w:val="00126337"/>
    <w:rsid w:val="00127538"/>
    <w:rsid w:val="00130D92"/>
    <w:rsid w:val="001345CC"/>
    <w:rsid w:val="00135CBF"/>
    <w:rsid w:val="00136033"/>
    <w:rsid w:val="00141D0A"/>
    <w:rsid w:val="001421E1"/>
    <w:rsid w:val="00147CEC"/>
    <w:rsid w:val="00154B5F"/>
    <w:rsid w:val="00154BB8"/>
    <w:rsid w:val="0016026D"/>
    <w:rsid w:val="001607D9"/>
    <w:rsid w:val="001651B1"/>
    <w:rsid w:val="00166355"/>
    <w:rsid w:val="00175790"/>
    <w:rsid w:val="00175BFD"/>
    <w:rsid w:val="00176D03"/>
    <w:rsid w:val="001772B0"/>
    <w:rsid w:val="001809FB"/>
    <w:rsid w:val="001821A7"/>
    <w:rsid w:val="00190891"/>
    <w:rsid w:val="00190ADD"/>
    <w:rsid w:val="00190DD6"/>
    <w:rsid w:val="00196268"/>
    <w:rsid w:val="001A2795"/>
    <w:rsid w:val="001A5B58"/>
    <w:rsid w:val="001A7865"/>
    <w:rsid w:val="001A7A29"/>
    <w:rsid w:val="001B332E"/>
    <w:rsid w:val="001C01D2"/>
    <w:rsid w:val="001C0A65"/>
    <w:rsid w:val="001C17E8"/>
    <w:rsid w:val="001C6C2D"/>
    <w:rsid w:val="001D5B85"/>
    <w:rsid w:val="001E0E84"/>
    <w:rsid w:val="001E65A7"/>
    <w:rsid w:val="001E777A"/>
    <w:rsid w:val="001F1EE5"/>
    <w:rsid w:val="001F35B2"/>
    <w:rsid w:val="001F3E69"/>
    <w:rsid w:val="00202018"/>
    <w:rsid w:val="002034CA"/>
    <w:rsid w:val="0020575C"/>
    <w:rsid w:val="0021272B"/>
    <w:rsid w:val="00214D54"/>
    <w:rsid w:val="0021551F"/>
    <w:rsid w:val="00225226"/>
    <w:rsid w:val="0023007F"/>
    <w:rsid w:val="00243CD2"/>
    <w:rsid w:val="002471E0"/>
    <w:rsid w:val="002477DD"/>
    <w:rsid w:val="00252A0C"/>
    <w:rsid w:val="00254356"/>
    <w:rsid w:val="0025731D"/>
    <w:rsid w:val="00264CF2"/>
    <w:rsid w:val="00270E24"/>
    <w:rsid w:val="00270EAA"/>
    <w:rsid w:val="00270F31"/>
    <w:rsid w:val="002731CE"/>
    <w:rsid w:val="00277438"/>
    <w:rsid w:val="00284698"/>
    <w:rsid w:val="0028576C"/>
    <w:rsid w:val="002914DB"/>
    <w:rsid w:val="002920D2"/>
    <w:rsid w:val="002926B1"/>
    <w:rsid w:val="002A10FF"/>
    <w:rsid w:val="002A7FDA"/>
    <w:rsid w:val="002B2092"/>
    <w:rsid w:val="002B3DD6"/>
    <w:rsid w:val="002C65AC"/>
    <w:rsid w:val="002D0B02"/>
    <w:rsid w:val="002D28CB"/>
    <w:rsid w:val="002E21E0"/>
    <w:rsid w:val="002E41BD"/>
    <w:rsid w:val="002F2414"/>
    <w:rsid w:val="002F6306"/>
    <w:rsid w:val="002F7159"/>
    <w:rsid w:val="0030126D"/>
    <w:rsid w:val="0030264E"/>
    <w:rsid w:val="00305A8E"/>
    <w:rsid w:val="003128EB"/>
    <w:rsid w:val="00314591"/>
    <w:rsid w:val="003159C5"/>
    <w:rsid w:val="0032470F"/>
    <w:rsid w:val="00326304"/>
    <w:rsid w:val="0033186A"/>
    <w:rsid w:val="003327FA"/>
    <w:rsid w:val="00345990"/>
    <w:rsid w:val="00352988"/>
    <w:rsid w:val="0035535C"/>
    <w:rsid w:val="00360AEC"/>
    <w:rsid w:val="0036395B"/>
    <w:rsid w:val="00364305"/>
    <w:rsid w:val="003646FD"/>
    <w:rsid w:val="00371663"/>
    <w:rsid w:val="003720EF"/>
    <w:rsid w:val="00375169"/>
    <w:rsid w:val="003766A2"/>
    <w:rsid w:val="0038119C"/>
    <w:rsid w:val="00386DDC"/>
    <w:rsid w:val="00387320"/>
    <w:rsid w:val="00390295"/>
    <w:rsid w:val="00391A45"/>
    <w:rsid w:val="00392B5A"/>
    <w:rsid w:val="003A5AA8"/>
    <w:rsid w:val="003B0056"/>
    <w:rsid w:val="003B12CF"/>
    <w:rsid w:val="003B39CE"/>
    <w:rsid w:val="003C330C"/>
    <w:rsid w:val="003C5332"/>
    <w:rsid w:val="003D1A18"/>
    <w:rsid w:val="003D4296"/>
    <w:rsid w:val="003D5286"/>
    <w:rsid w:val="003D6894"/>
    <w:rsid w:val="003D6B88"/>
    <w:rsid w:val="003E6A86"/>
    <w:rsid w:val="003F09CF"/>
    <w:rsid w:val="003F1CFA"/>
    <w:rsid w:val="003F70D5"/>
    <w:rsid w:val="003F728B"/>
    <w:rsid w:val="0040051E"/>
    <w:rsid w:val="0040154A"/>
    <w:rsid w:val="00402E6D"/>
    <w:rsid w:val="00410B2D"/>
    <w:rsid w:val="004115C9"/>
    <w:rsid w:val="00415E26"/>
    <w:rsid w:val="004206A9"/>
    <w:rsid w:val="00427259"/>
    <w:rsid w:val="00431510"/>
    <w:rsid w:val="00443ACD"/>
    <w:rsid w:val="00443DBB"/>
    <w:rsid w:val="00446486"/>
    <w:rsid w:val="004514CA"/>
    <w:rsid w:val="00451AAB"/>
    <w:rsid w:val="00455937"/>
    <w:rsid w:val="00462A12"/>
    <w:rsid w:val="00467004"/>
    <w:rsid w:val="00473099"/>
    <w:rsid w:val="0048127B"/>
    <w:rsid w:val="0048727F"/>
    <w:rsid w:val="004922A1"/>
    <w:rsid w:val="004933BC"/>
    <w:rsid w:val="00497E16"/>
    <w:rsid w:val="004A03D6"/>
    <w:rsid w:val="004A25C6"/>
    <w:rsid w:val="004A5609"/>
    <w:rsid w:val="004B1911"/>
    <w:rsid w:val="004B38F5"/>
    <w:rsid w:val="004B78B0"/>
    <w:rsid w:val="004D187B"/>
    <w:rsid w:val="004D6295"/>
    <w:rsid w:val="004F3241"/>
    <w:rsid w:val="004F3C4A"/>
    <w:rsid w:val="004F5E7B"/>
    <w:rsid w:val="004F5ED4"/>
    <w:rsid w:val="004F6C1C"/>
    <w:rsid w:val="00502865"/>
    <w:rsid w:val="00503754"/>
    <w:rsid w:val="00503BCF"/>
    <w:rsid w:val="005140E9"/>
    <w:rsid w:val="005165BB"/>
    <w:rsid w:val="00521CE5"/>
    <w:rsid w:val="00523C65"/>
    <w:rsid w:val="005259D0"/>
    <w:rsid w:val="00526BBC"/>
    <w:rsid w:val="00532FA1"/>
    <w:rsid w:val="00535470"/>
    <w:rsid w:val="0053628D"/>
    <w:rsid w:val="00540C5B"/>
    <w:rsid w:val="005417AF"/>
    <w:rsid w:val="00541F62"/>
    <w:rsid w:val="00542E26"/>
    <w:rsid w:val="005632BD"/>
    <w:rsid w:val="0057548D"/>
    <w:rsid w:val="00583124"/>
    <w:rsid w:val="005858E6"/>
    <w:rsid w:val="00587013"/>
    <w:rsid w:val="00587185"/>
    <w:rsid w:val="00587585"/>
    <w:rsid w:val="00593338"/>
    <w:rsid w:val="00593369"/>
    <w:rsid w:val="00596603"/>
    <w:rsid w:val="005B51C8"/>
    <w:rsid w:val="005C4B4F"/>
    <w:rsid w:val="005C4BDD"/>
    <w:rsid w:val="005C4EF6"/>
    <w:rsid w:val="005D1574"/>
    <w:rsid w:val="005D218F"/>
    <w:rsid w:val="005D298C"/>
    <w:rsid w:val="005D667A"/>
    <w:rsid w:val="005E2534"/>
    <w:rsid w:val="005E25F5"/>
    <w:rsid w:val="005E52D1"/>
    <w:rsid w:val="005E560D"/>
    <w:rsid w:val="005E65E4"/>
    <w:rsid w:val="005E7711"/>
    <w:rsid w:val="005F2979"/>
    <w:rsid w:val="005F3511"/>
    <w:rsid w:val="005F4331"/>
    <w:rsid w:val="005F506E"/>
    <w:rsid w:val="005F625A"/>
    <w:rsid w:val="005F64A7"/>
    <w:rsid w:val="00605742"/>
    <w:rsid w:val="006134D1"/>
    <w:rsid w:val="0061609F"/>
    <w:rsid w:val="00616272"/>
    <w:rsid w:val="00621E23"/>
    <w:rsid w:val="00635455"/>
    <w:rsid w:val="006476FB"/>
    <w:rsid w:val="00647DE0"/>
    <w:rsid w:val="006533CF"/>
    <w:rsid w:val="00663994"/>
    <w:rsid w:val="00675BB0"/>
    <w:rsid w:val="006846DC"/>
    <w:rsid w:val="006935A0"/>
    <w:rsid w:val="00695B4F"/>
    <w:rsid w:val="006A2DBF"/>
    <w:rsid w:val="006A4F8E"/>
    <w:rsid w:val="006B051B"/>
    <w:rsid w:val="006B1060"/>
    <w:rsid w:val="006B44ED"/>
    <w:rsid w:val="006B4C02"/>
    <w:rsid w:val="006B5A2E"/>
    <w:rsid w:val="006B6BEB"/>
    <w:rsid w:val="006B6DDF"/>
    <w:rsid w:val="006C4AF8"/>
    <w:rsid w:val="006C5B8C"/>
    <w:rsid w:val="006C6557"/>
    <w:rsid w:val="006D1155"/>
    <w:rsid w:val="006D2C29"/>
    <w:rsid w:val="006D42DB"/>
    <w:rsid w:val="006D5085"/>
    <w:rsid w:val="006D5248"/>
    <w:rsid w:val="006E593A"/>
    <w:rsid w:val="006E5D14"/>
    <w:rsid w:val="006E5EFD"/>
    <w:rsid w:val="006E7824"/>
    <w:rsid w:val="006F0E4C"/>
    <w:rsid w:val="006F4BC6"/>
    <w:rsid w:val="006F5626"/>
    <w:rsid w:val="006F576A"/>
    <w:rsid w:val="006F60C1"/>
    <w:rsid w:val="006F6B00"/>
    <w:rsid w:val="006F7F6A"/>
    <w:rsid w:val="007014DD"/>
    <w:rsid w:val="00701A45"/>
    <w:rsid w:val="0071006D"/>
    <w:rsid w:val="00710A80"/>
    <w:rsid w:val="00710B8E"/>
    <w:rsid w:val="007139C1"/>
    <w:rsid w:val="00716362"/>
    <w:rsid w:val="00733C93"/>
    <w:rsid w:val="00734242"/>
    <w:rsid w:val="00747F5A"/>
    <w:rsid w:val="00750B6F"/>
    <w:rsid w:val="007525E0"/>
    <w:rsid w:val="00752BB3"/>
    <w:rsid w:val="00753A81"/>
    <w:rsid w:val="007565DE"/>
    <w:rsid w:val="00763827"/>
    <w:rsid w:val="00764981"/>
    <w:rsid w:val="00787267"/>
    <w:rsid w:val="00787745"/>
    <w:rsid w:val="00791D01"/>
    <w:rsid w:val="007A0C5F"/>
    <w:rsid w:val="007A0DDB"/>
    <w:rsid w:val="007A0E91"/>
    <w:rsid w:val="007A1085"/>
    <w:rsid w:val="007A1DE7"/>
    <w:rsid w:val="007A6DD8"/>
    <w:rsid w:val="007C111C"/>
    <w:rsid w:val="007C38B3"/>
    <w:rsid w:val="007D2DB2"/>
    <w:rsid w:val="007D3B41"/>
    <w:rsid w:val="007D4170"/>
    <w:rsid w:val="007D4CED"/>
    <w:rsid w:val="007E2CCE"/>
    <w:rsid w:val="007E4115"/>
    <w:rsid w:val="007E770D"/>
    <w:rsid w:val="007F6710"/>
    <w:rsid w:val="007F7D2F"/>
    <w:rsid w:val="00804057"/>
    <w:rsid w:val="0080523A"/>
    <w:rsid w:val="00814B12"/>
    <w:rsid w:val="0081548C"/>
    <w:rsid w:val="0082202E"/>
    <w:rsid w:val="0082291C"/>
    <w:rsid w:val="008237EA"/>
    <w:rsid w:val="00837E20"/>
    <w:rsid w:val="0084229E"/>
    <w:rsid w:val="00847580"/>
    <w:rsid w:val="00850C9C"/>
    <w:rsid w:val="00853D33"/>
    <w:rsid w:val="00857055"/>
    <w:rsid w:val="0086322F"/>
    <w:rsid w:val="008644A3"/>
    <w:rsid w:val="00867AE1"/>
    <w:rsid w:val="00870398"/>
    <w:rsid w:val="00872384"/>
    <w:rsid w:val="00874622"/>
    <w:rsid w:val="00884B26"/>
    <w:rsid w:val="00892C9E"/>
    <w:rsid w:val="00895717"/>
    <w:rsid w:val="008958BA"/>
    <w:rsid w:val="00897F65"/>
    <w:rsid w:val="008A015B"/>
    <w:rsid w:val="008A66B7"/>
    <w:rsid w:val="008B132E"/>
    <w:rsid w:val="008B4D51"/>
    <w:rsid w:val="008B54B6"/>
    <w:rsid w:val="008C4180"/>
    <w:rsid w:val="008D4927"/>
    <w:rsid w:val="008D5223"/>
    <w:rsid w:val="008D5793"/>
    <w:rsid w:val="008F3FC7"/>
    <w:rsid w:val="008F4B0A"/>
    <w:rsid w:val="00903AC2"/>
    <w:rsid w:val="009066C7"/>
    <w:rsid w:val="00906CB4"/>
    <w:rsid w:val="009114C0"/>
    <w:rsid w:val="00922ABD"/>
    <w:rsid w:val="0092542B"/>
    <w:rsid w:val="00935F00"/>
    <w:rsid w:val="00943856"/>
    <w:rsid w:val="00943AF1"/>
    <w:rsid w:val="009518E2"/>
    <w:rsid w:val="00954894"/>
    <w:rsid w:val="00957925"/>
    <w:rsid w:val="00961F88"/>
    <w:rsid w:val="00962AC7"/>
    <w:rsid w:val="00966242"/>
    <w:rsid w:val="0097070E"/>
    <w:rsid w:val="0097560F"/>
    <w:rsid w:val="009826DB"/>
    <w:rsid w:val="00984548"/>
    <w:rsid w:val="009851FA"/>
    <w:rsid w:val="00987D96"/>
    <w:rsid w:val="00994974"/>
    <w:rsid w:val="00996D1E"/>
    <w:rsid w:val="009A6869"/>
    <w:rsid w:val="009C1350"/>
    <w:rsid w:val="009C3E48"/>
    <w:rsid w:val="009C44DC"/>
    <w:rsid w:val="009C52E7"/>
    <w:rsid w:val="009C7CD4"/>
    <w:rsid w:val="009C7D53"/>
    <w:rsid w:val="009E7351"/>
    <w:rsid w:val="009F19EC"/>
    <w:rsid w:val="009F5CCD"/>
    <w:rsid w:val="00A044A1"/>
    <w:rsid w:val="00A06653"/>
    <w:rsid w:val="00A10A08"/>
    <w:rsid w:val="00A1108C"/>
    <w:rsid w:val="00A1421C"/>
    <w:rsid w:val="00A173B3"/>
    <w:rsid w:val="00A17ECE"/>
    <w:rsid w:val="00A20ABD"/>
    <w:rsid w:val="00A218C0"/>
    <w:rsid w:val="00A35CE4"/>
    <w:rsid w:val="00A40AEC"/>
    <w:rsid w:val="00A4104F"/>
    <w:rsid w:val="00A44961"/>
    <w:rsid w:val="00A44FD2"/>
    <w:rsid w:val="00A47052"/>
    <w:rsid w:val="00A5177F"/>
    <w:rsid w:val="00A52DAA"/>
    <w:rsid w:val="00A54970"/>
    <w:rsid w:val="00A54D24"/>
    <w:rsid w:val="00A60FF8"/>
    <w:rsid w:val="00A71E25"/>
    <w:rsid w:val="00A81135"/>
    <w:rsid w:val="00A900B7"/>
    <w:rsid w:val="00A9113B"/>
    <w:rsid w:val="00A9294E"/>
    <w:rsid w:val="00A92A74"/>
    <w:rsid w:val="00A9635C"/>
    <w:rsid w:val="00A97399"/>
    <w:rsid w:val="00AA4E17"/>
    <w:rsid w:val="00AA6693"/>
    <w:rsid w:val="00AB1E94"/>
    <w:rsid w:val="00AB4AA5"/>
    <w:rsid w:val="00AC09CE"/>
    <w:rsid w:val="00AC44B5"/>
    <w:rsid w:val="00AD36F9"/>
    <w:rsid w:val="00AD4DE9"/>
    <w:rsid w:val="00AD660C"/>
    <w:rsid w:val="00B00E7E"/>
    <w:rsid w:val="00B04180"/>
    <w:rsid w:val="00B06C11"/>
    <w:rsid w:val="00B07694"/>
    <w:rsid w:val="00B07DA6"/>
    <w:rsid w:val="00B11B2B"/>
    <w:rsid w:val="00B23C3B"/>
    <w:rsid w:val="00B27173"/>
    <w:rsid w:val="00B278D6"/>
    <w:rsid w:val="00B3759E"/>
    <w:rsid w:val="00B42E2B"/>
    <w:rsid w:val="00B51F80"/>
    <w:rsid w:val="00B60EE3"/>
    <w:rsid w:val="00B667E9"/>
    <w:rsid w:val="00B74E00"/>
    <w:rsid w:val="00B80CA9"/>
    <w:rsid w:val="00B85CED"/>
    <w:rsid w:val="00B90447"/>
    <w:rsid w:val="00B91D0E"/>
    <w:rsid w:val="00B959B6"/>
    <w:rsid w:val="00BA6575"/>
    <w:rsid w:val="00BB0DF5"/>
    <w:rsid w:val="00BB35A5"/>
    <w:rsid w:val="00BB5A6F"/>
    <w:rsid w:val="00BB6647"/>
    <w:rsid w:val="00BC11F1"/>
    <w:rsid w:val="00BC1B76"/>
    <w:rsid w:val="00BC3192"/>
    <w:rsid w:val="00BC520E"/>
    <w:rsid w:val="00BD1772"/>
    <w:rsid w:val="00BD4BF7"/>
    <w:rsid w:val="00BE13CD"/>
    <w:rsid w:val="00BE3CB4"/>
    <w:rsid w:val="00BE7788"/>
    <w:rsid w:val="00C058BF"/>
    <w:rsid w:val="00C12F6A"/>
    <w:rsid w:val="00C1443E"/>
    <w:rsid w:val="00C17C8C"/>
    <w:rsid w:val="00C2055C"/>
    <w:rsid w:val="00C206C0"/>
    <w:rsid w:val="00C24BE7"/>
    <w:rsid w:val="00C24DA8"/>
    <w:rsid w:val="00C4103E"/>
    <w:rsid w:val="00C41BA3"/>
    <w:rsid w:val="00C42391"/>
    <w:rsid w:val="00C50237"/>
    <w:rsid w:val="00C52DC0"/>
    <w:rsid w:val="00C54A0A"/>
    <w:rsid w:val="00C562C4"/>
    <w:rsid w:val="00C61C94"/>
    <w:rsid w:val="00C63E46"/>
    <w:rsid w:val="00C65025"/>
    <w:rsid w:val="00C6502C"/>
    <w:rsid w:val="00C7326C"/>
    <w:rsid w:val="00C76872"/>
    <w:rsid w:val="00C938FC"/>
    <w:rsid w:val="00C9532E"/>
    <w:rsid w:val="00C96F1B"/>
    <w:rsid w:val="00CA15AB"/>
    <w:rsid w:val="00CA55F8"/>
    <w:rsid w:val="00CB4572"/>
    <w:rsid w:val="00CB628F"/>
    <w:rsid w:val="00CC7DA0"/>
    <w:rsid w:val="00CD3E97"/>
    <w:rsid w:val="00CE0807"/>
    <w:rsid w:val="00CE37E5"/>
    <w:rsid w:val="00CE400B"/>
    <w:rsid w:val="00CF11A3"/>
    <w:rsid w:val="00CF46C2"/>
    <w:rsid w:val="00D07790"/>
    <w:rsid w:val="00D15560"/>
    <w:rsid w:val="00D17287"/>
    <w:rsid w:val="00D17AC7"/>
    <w:rsid w:val="00D2568F"/>
    <w:rsid w:val="00D25D3D"/>
    <w:rsid w:val="00D30380"/>
    <w:rsid w:val="00D32669"/>
    <w:rsid w:val="00D3740E"/>
    <w:rsid w:val="00D4711E"/>
    <w:rsid w:val="00D60D31"/>
    <w:rsid w:val="00D62854"/>
    <w:rsid w:val="00D65196"/>
    <w:rsid w:val="00D70EC7"/>
    <w:rsid w:val="00D71E0E"/>
    <w:rsid w:val="00D72467"/>
    <w:rsid w:val="00D75AFE"/>
    <w:rsid w:val="00D81E24"/>
    <w:rsid w:val="00D823FB"/>
    <w:rsid w:val="00D84677"/>
    <w:rsid w:val="00D84F86"/>
    <w:rsid w:val="00DA13A4"/>
    <w:rsid w:val="00DB1FA9"/>
    <w:rsid w:val="00DB5321"/>
    <w:rsid w:val="00DB6C02"/>
    <w:rsid w:val="00DC0AE8"/>
    <w:rsid w:val="00DC232B"/>
    <w:rsid w:val="00DC3734"/>
    <w:rsid w:val="00DC45D8"/>
    <w:rsid w:val="00DC4CE4"/>
    <w:rsid w:val="00DD007B"/>
    <w:rsid w:val="00DD0973"/>
    <w:rsid w:val="00DD6045"/>
    <w:rsid w:val="00DF4BAE"/>
    <w:rsid w:val="00DF5A67"/>
    <w:rsid w:val="00DF5DD7"/>
    <w:rsid w:val="00E01D93"/>
    <w:rsid w:val="00E06309"/>
    <w:rsid w:val="00E1154B"/>
    <w:rsid w:val="00E12F61"/>
    <w:rsid w:val="00E164EC"/>
    <w:rsid w:val="00E22DE9"/>
    <w:rsid w:val="00E332E8"/>
    <w:rsid w:val="00E35D1D"/>
    <w:rsid w:val="00E43538"/>
    <w:rsid w:val="00E449BE"/>
    <w:rsid w:val="00E45887"/>
    <w:rsid w:val="00E4775A"/>
    <w:rsid w:val="00E5080F"/>
    <w:rsid w:val="00E50AB0"/>
    <w:rsid w:val="00E67B45"/>
    <w:rsid w:val="00E67F9C"/>
    <w:rsid w:val="00E7337A"/>
    <w:rsid w:val="00E7618C"/>
    <w:rsid w:val="00E7649A"/>
    <w:rsid w:val="00E837B6"/>
    <w:rsid w:val="00E83A1B"/>
    <w:rsid w:val="00E85222"/>
    <w:rsid w:val="00E90981"/>
    <w:rsid w:val="00E94F72"/>
    <w:rsid w:val="00EA3946"/>
    <w:rsid w:val="00EA5600"/>
    <w:rsid w:val="00EB26A1"/>
    <w:rsid w:val="00EB303F"/>
    <w:rsid w:val="00EB36D2"/>
    <w:rsid w:val="00EB5040"/>
    <w:rsid w:val="00EB5BC7"/>
    <w:rsid w:val="00EB6756"/>
    <w:rsid w:val="00EB737F"/>
    <w:rsid w:val="00EC07ED"/>
    <w:rsid w:val="00EC2F29"/>
    <w:rsid w:val="00EC35CA"/>
    <w:rsid w:val="00ED035F"/>
    <w:rsid w:val="00ED100D"/>
    <w:rsid w:val="00ED2F6B"/>
    <w:rsid w:val="00EE1A47"/>
    <w:rsid w:val="00EF393E"/>
    <w:rsid w:val="00EF4371"/>
    <w:rsid w:val="00EF7AD4"/>
    <w:rsid w:val="00F02A66"/>
    <w:rsid w:val="00F07C33"/>
    <w:rsid w:val="00F12E68"/>
    <w:rsid w:val="00F165FB"/>
    <w:rsid w:val="00F23F09"/>
    <w:rsid w:val="00F269B5"/>
    <w:rsid w:val="00F27D62"/>
    <w:rsid w:val="00F300BD"/>
    <w:rsid w:val="00F4439D"/>
    <w:rsid w:val="00F44C7E"/>
    <w:rsid w:val="00F45EE7"/>
    <w:rsid w:val="00F540FD"/>
    <w:rsid w:val="00F628F7"/>
    <w:rsid w:val="00F629C4"/>
    <w:rsid w:val="00F65626"/>
    <w:rsid w:val="00F715B3"/>
    <w:rsid w:val="00F76764"/>
    <w:rsid w:val="00F82A06"/>
    <w:rsid w:val="00F848FC"/>
    <w:rsid w:val="00F942CC"/>
    <w:rsid w:val="00FA070A"/>
    <w:rsid w:val="00FA4638"/>
    <w:rsid w:val="00FA7CAE"/>
    <w:rsid w:val="00FB0A4B"/>
    <w:rsid w:val="00FB0AFA"/>
    <w:rsid w:val="00FB4136"/>
    <w:rsid w:val="00FC1BDD"/>
    <w:rsid w:val="00FC25B9"/>
    <w:rsid w:val="00FC3E0F"/>
    <w:rsid w:val="00FD4214"/>
    <w:rsid w:val="00FD5725"/>
    <w:rsid w:val="00FD7C04"/>
    <w:rsid w:val="00FE0411"/>
    <w:rsid w:val="00FE44B7"/>
    <w:rsid w:val="00FE48A0"/>
    <w:rsid w:val="00FF1A93"/>
    <w:rsid w:val="00FF2E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674B5"/>
  <w15:docId w15:val="{1513E0CF-0626-426B-991E-E90338D4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37E5"/>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A015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015B"/>
  </w:style>
  <w:style w:type="paragraph" w:styleId="Zpat">
    <w:name w:val="footer"/>
    <w:basedOn w:val="Normln"/>
    <w:link w:val="ZpatChar"/>
    <w:uiPriority w:val="99"/>
    <w:unhideWhenUsed/>
    <w:rsid w:val="008A015B"/>
    <w:pPr>
      <w:tabs>
        <w:tab w:val="center" w:pos="4536"/>
        <w:tab w:val="right" w:pos="9072"/>
      </w:tabs>
      <w:spacing w:after="0" w:line="240" w:lineRule="auto"/>
    </w:pPr>
  </w:style>
  <w:style w:type="character" w:customStyle="1" w:styleId="ZpatChar">
    <w:name w:val="Zápatí Char"/>
    <w:basedOn w:val="Standardnpsmoodstavce"/>
    <w:link w:val="Zpat"/>
    <w:uiPriority w:val="99"/>
    <w:rsid w:val="008A015B"/>
  </w:style>
  <w:style w:type="table" w:styleId="Mkatabulky">
    <w:name w:val="Table Grid"/>
    <w:basedOn w:val="Normlntabulka"/>
    <w:uiPriority w:val="59"/>
    <w:rsid w:val="001C1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1C17E8"/>
    <w:pPr>
      <w:spacing w:line="240" w:lineRule="auto"/>
    </w:pPr>
    <w:rPr>
      <w:b/>
      <w:bCs/>
      <w:color w:val="4F81BD" w:themeColor="accent1"/>
      <w:sz w:val="18"/>
      <w:szCs w:val="18"/>
    </w:rPr>
  </w:style>
  <w:style w:type="paragraph" w:styleId="Odstavecseseznamem">
    <w:name w:val="List Paragraph"/>
    <w:basedOn w:val="Normln"/>
    <w:uiPriority w:val="34"/>
    <w:qFormat/>
    <w:rsid w:val="004514CA"/>
    <w:pPr>
      <w:ind w:left="720"/>
      <w:contextualSpacing/>
    </w:pPr>
  </w:style>
  <w:style w:type="paragraph" w:customStyle="1" w:styleId="Default">
    <w:name w:val="Default"/>
    <w:rsid w:val="006533CF"/>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D4711E"/>
    <w:rPr>
      <w:sz w:val="16"/>
      <w:szCs w:val="16"/>
    </w:rPr>
  </w:style>
  <w:style w:type="paragraph" w:styleId="Textkomente">
    <w:name w:val="annotation text"/>
    <w:basedOn w:val="Normln"/>
    <w:link w:val="TextkomenteChar"/>
    <w:uiPriority w:val="99"/>
    <w:unhideWhenUsed/>
    <w:rsid w:val="00D4711E"/>
    <w:pPr>
      <w:spacing w:line="240" w:lineRule="auto"/>
    </w:pPr>
    <w:rPr>
      <w:sz w:val="20"/>
      <w:szCs w:val="20"/>
    </w:rPr>
  </w:style>
  <w:style w:type="character" w:customStyle="1" w:styleId="TextkomenteChar">
    <w:name w:val="Text komentáře Char"/>
    <w:basedOn w:val="Standardnpsmoodstavce"/>
    <w:link w:val="Textkomente"/>
    <w:uiPriority w:val="99"/>
    <w:rsid w:val="00D4711E"/>
    <w:rPr>
      <w:sz w:val="20"/>
      <w:szCs w:val="20"/>
    </w:rPr>
  </w:style>
  <w:style w:type="paragraph" w:styleId="Pedmtkomente">
    <w:name w:val="annotation subject"/>
    <w:basedOn w:val="Textkomente"/>
    <w:next w:val="Textkomente"/>
    <w:link w:val="PedmtkomenteChar"/>
    <w:uiPriority w:val="99"/>
    <w:semiHidden/>
    <w:unhideWhenUsed/>
    <w:rsid w:val="00D4711E"/>
    <w:rPr>
      <w:b/>
      <w:bCs/>
    </w:rPr>
  </w:style>
  <w:style w:type="character" w:customStyle="1" w:styleId="PedmtkomenteChar">
    <w:name w:val="Předmět komentáře Char"/>
    <w:basedOn w:val="TextkomenteChar"/>
    <w:link w:val="Pedmtkomente"/>
    <w:uiPriority w:val="99"/>
    <w:semiHidden/>
    <w:rsid w:val="00D471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864188">
      <w:bodyDiv w:val="1"/>
      <w:marLeft w:val="0"/>
      <w:marRight w:val="0"/>
      <w:marTop w:val="0"/>
      <w:marBottom w:val="0"/>
      <w:divBdr>
        <w:top w:val="none" w:sz="0" w:space="0" w:color="auto"/>
        <w:left w:val="none" w:sz="0" w:space="0" w:color="auto"/>
        <w:bottom w:val="none" w:sz="0" w:space="0" w:color="auto"/>
        <w:right w:val="none" w:sz="0" w:space="0" w:color="auto"/>
      </w:divBdr>
    </w:div>
    <w:div w:id="299267218">
      <w:bodyDiv w:val="1"/>
      <w:marLeft w:val="0"/>
      <w:marRight w:val="0"/>
      <w:marTop w:val="0"/>
      <w:marBottom w:val="0"/>
      <w:divBdr>
        <w:top w:val="none" w:sz="0" w:space="0" w:color="auto"/>
        <w:left w:val="none" w:sz="0" w:space="0" w:color="auto"/>
        <w:bottom w:val="none" w:sz="0" w:space="0" w:color="auto"/>
        <w:right w:val="none" w:sz="0" w:space="0" w:color="auto"/>
      </w:divBdr>
    </w:div>
    <w:div w:id="827480725">
      <w:bodyDiv w:val="1"/>
      <w:marLeft w:val="0"/>
      <w:marRight w:val="0"/>
      <w:marTop w:val="0"/>
      <w:marBottom w:val="0"/>
      <w:divBdr>
        <w:top w:val="none" w:sz="0" w:space="0" w:color="auto"/>
        <w:left w:val="none" w:sz="0" w:space="0" w:color="auto"/>
        <w:bottom w:val="none" w:sz="0" w:space="0" w:color="auto"/>
        <w:right w:val="none" w:sz="0" w:space="0" w:color="auto"/>
      </w:divBdr>
    </w:div>
    <w:div w:id="1020400721">
      <w:bodyDiv w:val="1"/>
      <w:marLeft w:val="0"/>
      <w:marRight w:val="0"/>
      <w:marTop w:val="0"/>
      <w:marBottom w:val="0"/>
      <w:divBdr>
        <w:top w:val="none" w:sz="0" w:space="0" w:color="auto"/>
        <w:left w:val="none" w:sz="0" w:space="0" w:color="auto"/>
        <w:bottom w:val="none" w:sz="0" w:space="0" w:color="auto"/>
        <w:right w:val="none" w:sz="0" w:space="0" w:color="auto"/>
      </w:divBdr>
    </w:div>
    <w:div w:id="1296059310">
      <w:bodyDiv w:val="1"/>
      <w:marLeft w:val="0"/>
      <w:marRight w:val="0"/>
      <w:marTop w:val="0"/>
      <w:marBottom w:val="0"/>
      <w:divBdr>
        <w:top w:val="none" w:sz="0" w:space="0" w:color="auto"/>
        <w:left w:val="none" w:sz="0" w:space="0" w:color="auto"/>
        <w:bottom w:val="none" w:sz="0" w:space="0" w:color="auto"/>
        <w:right w:val="none" w:sz="0" w:space="0" w:color="auto"/>
      </w:divBdr>
    </w:div>
    <w:div w:id="1448964515">
      <w:bodyDiv w:val="1"/>
      <w:marLeft w:val="0"/>
      <w:marRight w:val="0"/>
      <w:marTop w:val="0"/>
      <w:marBottom w:val="0"/>
      <w:divBdr>
        <w:top w:val="none" w:sz="0" w:space="0" w:color="auto"/>
        <w:left w:val="none" w:sz="0" w:space="0" w:color="auto"/>
        <w:bottom w:val="none" w:sz="0" w:space="0" w:color="auto"/>
        <w:right w:val="none" w:sz="0" w:space="0" w:color="auto"/>
      </w:divBdr>
    </w:div>
    <w:div w:id="1760445471">
      <w:bodyDiv w:val="1"/>
      <w:marLeft w:val="0"/>
      <w:marRight w:val="0"/>
      <w:marTop w:val="0"/>
      <w:marBottom w:val="0"/>
      <w:divBdr>
        <w:top w:val="none" w:sz="0" w:space="0" w:color="auto"/>
        <w:left w:val="none" w:sz="0" w:space="0" w:color="auto"/>
        <w:bottom w:val="none" w:sz="0" w:space="0" w:color="auto"/>
        <w:right w:val="none" w:sz="0" w:space="0" w:color="auto"/>
      </w:divBdr>
    </w:div>
    <w:div w:id="1797479797">
      <w:bodyDiv w:val="1"/>
      <w:marLeft w:val="0"/>
      <w:marRight w:val="0"/>
      <w:marTop w:val="0"/>
      <w:marBottom w:val="0"/>
      <w:divBdr>
        <w:top w:val="none" w:sz="0" w:space="0" w:color="auto"/>
        <w:left w:val="none" w:sz="0" w:space="0" w:color="auto"/>
        <w:bottom w:val="none" w:sz="0" w:space="0" w:color="auto"/>
        <w:right w:val="none" w:sz="0" w:space="0" w:color="auto"/>
      </w:divBdr>
    </w:div>
    <w:div w:id="189153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FC3FE4F62AD546AE2095E1B2E7290F" ma:contentTypeVersion="15" ma:contentTypeDescription="Vytvoří nový dokument" ma:contentTypeScope="" ma:versionID="da6cb47ebdf464477b65bbf4c08d732c">
  <xsd:schema xmlns:xsd="http://www.w3.org/2001/XMLSchema" xmlns:xs="http://www.w3.org/2001/XMLSchema" xmlns:p="http://schemas.microsoft.com/office/2006/metadata/properties" xmlns:ns2="c907a78e-75f2-4f05-91d0-96edef6c561b" xmlns:ns3="245e2b90-49fe-4ba6-b1b7-de318df298e8" targetNamespace="http://schemas.microsoft.com/office/2006/metadata/properties" ma:root="true" ma:fieldsID="f25a02b98435eadda2f432d720601243" ns2:_="" ns3:_="">
    <xsd:import namespace="c907a78e-75f2-4f05-91d0-96edef6c561b"/>
    <xsd:import namespace="245e2b90-49fe-4ba6-b1b7-de318df298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a78e-75f2-4f05-91d0-96edef6c5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ed1687f4-ff3d-47d4-be9c-921a4eaf9e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e2b90-49fe-4ba6-b1b7-de318df298e8"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887a566e-be15-48d3-bf7a-16239de574a7}" ma:internalName="TaxCatchAll" ma:showField="CatchAllData" ma:web="245e2b90-49fe-4ba6-b1b7-de318df298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07a78e-75f2-4f05-91d0-96edef6c561b">
      <Terms xmlns="http://schemas.microsoft.com/office/infopath/2007/PartnerControls"/>
    </lcf76f155ced4ddcb4097134ff3c332f>
    <TaxCatchAll xmlns="245e2b90-49fe-4ba6-b1b7-de318df298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EB1604-E55B-4B73-A274-A299CC9EE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a78e-75f2-4f05-91d0-96edef6c561b"/>
    <ds:schemaRef ds:uri="245e2b90-49fe-4ba6-b1b7-de318df29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B9BCB3-790A-433A-9FD8-A2437B8FF0EA}">
  <ds:schemaRefs>
    <ds:schemaRef ds:uri="http://schemas.openxmlformats.org/officeDocument/2006/bibliography"/>
  </ds:schemaRefs>
</ds:datastoreItem>
</file>

<file path=customXml/itemProps3.xml><?xml version="1.0" encoding="utf-8"?>
<ds:datastoreItem xmlns:ds="http://schemas.openxmlformats.org/officeDocument/2006/customXml" ds:itemID="{46F9AE6E-BF49-4981-B960-91C5773CA38A}">
  <ds:schemaRefs>
    <ds:schemaRef ds:uri="http://schemas.microsoft.com/office/2006/metadata/properties"/>
    <ds:schemaRef ds:uri="http://schemas.microsoft.com/office/infopath/2007/PartnerControls"/>
    <ds:schemaRef ds:uri="c907a78e-75f2-4f05-91d0-96edef6c561b"/>
    <ds:schemaRef ds:uri="245e2b90-49fe-4ba6-b1b7-de318df298e8"/>
  </ds:schemaRefs>
</ds:datastoreItem>
</file>

<file path=customXml/itemProps4.xml><?xml version="1.0" encoding="utf-8"?>
<ds:datastoreItem xmlns:ds="http://schemas.openxmlformats.org/officeDocument/2006/customXml" ds:itemID="{B3C29993-036C-4B5C-ADD5-33A0986FDD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Pages>
  <Words>719</Words>
  <Characters>4247</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Týna</dc:creator>
  <cp:keywords/>
  <cp:lastModifiedBy>Novotná Kateřina,Ing.</cp:lastModifiedBy>
  <cp:revision>73</cp:revision>
  <cp:lastPrinted>2019-09-09T16:55:00Z</cp:lastPrinted>
  <dcterms:created xsi:type="dcterms:W3CDTF">2025-09-30T11:47:00Z</dcterms:created>
  <dcterms:modified xsi:type="dcterms:W3CDTF">2025-11-20T09:27:00Z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0x010100FEFC3FE4F62AD546AE2095E1B2E7290F</vt:lpwstr>
  </property>
  <property fmtid="{D5CDD505-2E9C-101B-9397-08002B2CF9AE}" pid="3" name="MediaServiceImageTags">
    <vt:lpwstr/>
  </property>
</Properties>
</file>