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  <w:bookmarkStart w:id="0" w:name="_GoBack"/>
      <w:bookmarkEnd w:id="0"/>
    </w:p>
    <w:p w14:paraId="5CE02E1D" w14:textId="77777777" w:rsidR="007D275E" w:rsidRPr="00F864C5" w:rsidRDefault="007D275E" w:rsidP="002C56E4">
      <w:pPr>
        <w:spacing w:before="0"/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15A13660" w:rsidR="00806B02" w:rsidRPr="00910857" w:rsidRDefault="002C56E4" w:rsidP="00FF4FF6">
            <w:pPr>
              <w:jc w:val="left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Gymnázium Třebíč – o</w:t>
            </w:r>
            <w:r w:rsidR="00FF4FF6">
              <w:rPr>
                <w:rFonts w:cs="Arial"/>
                <w:b/>
                <w:szCs w:val="22"/>
              </w:rPr>
              <w:t xml:space="preserve">dstranění </w:t>
            </w:r>
            <w:r>
              <w:rPr>
                <w:rFonts w:cs="Arial"/>
                <w:b/>
                <w:szCs w:val="22"/>
              </w:rPr>
              <w:t xml:space="preserve">stavebního </w:t>
            </w:r>
            <w:r w:rsidR="00FF4FF6">
              <w:rPr>
                <w:rFonts w:cs="Arial"/>
                <w:b/>
                <w:szCs w:val="22"/>
              </w:rPr>
              <w:t>objekt</w:t>
            </w:r>
            <w:r>
              <w:rPr>
                <w:rFonts w:cs="Arial"/>
                <w:b/>
                <w:szCs w:val="22"/>
              </w:rPr>
              <w:t>u č. p. 109/8 Masarykovo náměstí</w:t>
            </w:r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21C7D422" w:rsidR="00806B02" w:rsidRPr="00AC2D66" w:rsidRDefault="00806B02" w:rsidP="004511B3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0093EB19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2C56E4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2C56E4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32E79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56E4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11B3"/>
    <w:rsid w:val="004518BD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177BF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56CE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4DF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1E5B2-5977-4BEA-BC2A-421DA1CC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2026-01-29T12:37:00Z</dcterms:created>
  <dcterms:modified xsi:type="dcterms:W3CDTF">2026-01-29T12:37:00Z</dcterms:modified>
</cp:coreProperties>
</file>