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3F1A6D" w:rsidRDefault="00DB5D40">
      <w:pPr>
        <w:pStyle w:val="P68B1DB1-Nzev1"/>
        <w:rPr>
          <w:b w:val="0"/>
          <w:bCs w:val="0"/>
        </w:rPr>
      </w:pPr>
      <w:r>
        <w:t>SERVICE CONTRACT</w:t>
      </w:r>
    </w:p>
    <w:p w14:paraId="00000002" w14:textId="77777777" w:rsidR="003F1A6D" w:rsidRDefault="003F1A6D">
      <w:pPr>
        <w:pStyle w:val="Nzev"/>
        <w:jc w:val="both"/>
        <w:rPr>
          <w:rFonts w:ascii="Arial" w:eastAsia="Arial" w:hAnsi="Arial" w:cs="Arial"/>
          <w:b w:val="0"/>
          <w:bCs w:val="0"/>
          <w:i/>
          <w:iCs/>
          <w:sz w:val="22"/>
          <w:szCs w:val="22"/>
        </w:rPr>
      </w:pPr>
    </w:p>
    <w:p w14:paraId="00000003" w14:textId="7DDE3390" w:rsidR="003F1A6D" w:rsidRDefault="00DB5D40">
      <w:pPr>
        <w:pStyle w:val="P68B1DB1-Nzev1"/>
        <w:jc w:val="both"/>
        <w:rPr>
          <w:b w:val="0"/>
          <w:bCs w:val="0"/>
          <w:i/>
          <w:iCs/>
        </w:rPr>
      </w:pPr>
      <w:r>
        <w:rPr>
          <w:b w:val="0"/>
          <w:bCs w:val="0"/>
          <w:i/>
        </w:rPr>
        <w:t xml:space="preserve">pursuant to </w:t>
      </w:r>
      <w:r w:rsidR="00C62551">
        <w:rPr>
          <w:b w:val="0"/>
          <w:bCs w:val="0"/>
          <w:i/>
        </w:rPr>
        <w:t xml:space="preserve">Article </w:t>
      </w:r>
      <w:r>
        <w:rPr>
          <w:b w:val="0"/>
          <w:bCs w:val="0"/>
          <w:i/>
        </w:rPr>
        <w:t>1746(2) of Act</w:t>
      </w:r>
      <w:r>
        <w:t xml:space="preserve"> </w:t>
      </w:r>
      <w:r>
        <w:rPr>
          <w:b w:val="0"/>
          <w:bCs w:val="0"/>
          <w:i/>
        </w:rPr>
        <w:t>No 89/2012</w:t>
      </w:r>
      <w:r w:rsidR="00C62551">
        <w:rPr>
          <w:b w:val="0"/>
          <w:bCs w:val="0"/>
          <w:i/>
        </w:rPr>
        <w:t xml:space="preserve"> Coll.</w:t>
      </w:r>
      <w:r>
        <w:rPr>
          <w:b w:val="0"/>
          <w:bCs w:val="0"/>
          <w:i/>
        </w:rPr>
        <w:t>, the Civil Code (‘the Civil Code’) (‘the contract’)</w:t>
      </w:r>
    </w:p>
    <w:p w14:paraId="00000004" w14:textId="77777777" w:rsidR="003F1A6D" w:rsidRDefault="003F1A6D">
      <w:pPr>
        <w:pBdr>
          <w:top w:val="nil"/>
          <w:left w:val="nil"/>
          <w:bottom w:val="nil"/>
          <w:right w:val="nil"/>
          <w:between w:val="nil"/>
        </w:pBdr>
        <w:spacing w:after="0" w:line="240" w:lineRule="auto"/>
        <w:jc w:val="both"/>
        <w:rPr>
          <w:rFonts w:ascii="Arial" w:eastAsia="Arial" w:hAnsi="Arial" w:cs="Arial"/>
          <w:b/>
          <w:bCs/>
          <w:color w:val="000000"/>
        </w:rPr>
      </w:pPr>
    </w:p>
    <w:p w14:paraId="00000005" w14:textId="506D1A64" w:rsidR="003F1A6D" w:rsidRDefault="00DB5D40">
      <w:pPr>
        <w:pStyle w:val="P68B1DB1-Normln2"/>
        <w:pBdr>
          <w:top w:val="nil"/>
          <w:left w:val="nil"/>
          <w:bottom w:val="nil"/>
          <w:right w:val="nil"/>
          <w:between w:val="nil"/>
        </w:pBdr>
        <w:spacing w:after="0" w:line="240" w:lineRule="auto"/>
        <w:jc w:val="both"/>
        <w:rPr>
          <w:bCs/>
        </w:rPr>
      </w:pPr>
      <w:r>
        <w:t xml:space="preserve"> Vysočina Region</w:t>
      </w:r>
    </w:p>
    <w:p w14:paraId="00000006" w14:textId="049A4A92" w:rsidR="003F1A6D" w:rsidRDefault="00DB5D40">
      <w:pPr>
        <w:pStyle w:val="P68B1DB1-Normln3"/>
        <w:pBdr>
          <w:top w:val="nil"/>
          <w:left w:val="nil"/>
          <w:bottom w:val="nil"/>
          <w:right w:val="nil"/>
          <w:between w:val="nil"/>
        </w:pBdr>
        <w:spacing w:after="0" w:line="240" w:lineRule="auto"/>
        <w:jc w:val="both"/>
      </w:pPr>
      <w:r>
        <w:t xml:space="preserve">Registration </w:t>
      </w:r>
      <w:r w:rsidR="00C62551">
        <w:t>ID</w:t>
      </w:r>
      <w:r>
        <w:t>: 708 90 749</w:t>
      </w:r>
    </w:p>
    <w:p w14:paraId="00000007" w14:textId="77777777" w:rsidR="003F1A6D" w:rsidRDefault="00DB5D40">
      <w:pPr>
        <w:pStyle w:val="P68B1DB1-Normln3"/>
        <w:pBdr>
          <w:top w:val="nil"/>
          <w:left w:val="nil"/>
          <w:bottom w:val="nil"/>
          <w:right w:val="nil"/>
          <w:between w:val="nil"/>
        </w:pBdr>
        <w:spacing w:after="0" w:line="240" w:lineRule="auto"/>
        <w:jc w:val="both"/>
      </w:pPr>
      <w:r>
        <w:t>Data box ID: ksab3eu</w:t>
      </w:r>
    </w:p>
    <w:p w14:paraId="00000008" w14:textId="52213223" w:rsidR="003F1A6D" w:rsidRDefault="00DB5D40">
      <w:pPr>
        <w:pStyle w:val="P68B1DB1-Normln3"/>
        <w:pBdr>
          <w:top w:val="nil"/>
          <w:left w:val="nil"/>
          <w:bottom w:val="nil"/>
          <w:right w:val="nil"/>
          <w:between w:val="nil"/>
        </w:pBdr>
        <w:spacing w:after="0" w:line="240" w:lineRule="auto"/>
        <w:jc w:val="both"/>
      </w:pPr>
      <w:r>
        <w:t>registered office</w:t>
      </w:r>
      <w:r w:rsidR="00C62551">
        <w:t>:</w:t>
      </w:r>
      <w:r>
        <w:t xml:space="preserve"> Jihlava, </w:t>
      </w:r>
      <w:proofErr w:type="spellStart"/>
      <w:r>
        <w:t>Žižkova</w:t>
      </w:r>
      <w:proofErr w:type="spellEnd"/>
      <w:r>
        <w:t xml:space="preserve"> 57, postcode 587 33</w:t>
      </w:r>
    </w:p>
    <w:p w14:paraId="00000009" w14:textId="5E8D42ED" w:rsidR="003F1A6D" w:rsidRDefault="00DB5D40">
      <w:pPr>
        <w:pStyle w:val="P68B1DB1-Normln3"/>
        <w:pBdr>
          <w:top w:val="nil"/>
          <w:left w:val="nil"/>
          <w:bottom w:val="nil"/>
          <w:right w:val="nil"/>
          <w:between w:val="nil"/>
        </w:pBdr>
        <w:spacing w:after="0" w:line="240" w:lineRule="auto"/>
        <w:jc w:val="both"/>
      </w:pPr>
      <w:r>
        <w:t>represented by:</w:t>
      </w:r>
      <w:r>
        <w:tab/>
        <w:t>Martin Kukla, Governor (</w:t>
      </w:r>
      <w:proofErr w:type="spellStart"/>
      <w:r>
        <w:t>authorised</w:t>
      </w:r>
      <w:proofErr w:type="spellEnd"/>
      <w:r>
        <w:t xml:space="preserve"> to act in contractual matters)</w:t>
      </w:r>
    </w:p>
    <w:p w14:paraId="0000000A" w14:textId="6C4D729C" w:rsidR="003F1A6D" w:rsidRDefault="00DB5D40">
      <w:pPr>
        <w:pStyle w:val="P68B1DB1-Normln4"/>
        <w:pBdr>
          <w:top w:val="nil"/>
          <w:left w:val="nil"/>
          <w:bottom w:val="nil"/>
          <w:right w:val="nil"/>
          <w:between w:val="nil"/>
        </w:pBdr>
        <w:spacing w:after="0" w:line="240" w:lineRule="auto"/>
        <w:jc w:val="both"/>
      </w:pPr>
      <w:r>
        <w:t xml:space="preserve">(hereinafter referred </w:t>
      </w:r>
      <w:r>
        <w:rPr>
          <w:b/>
        </w:rPr>
        <w:t>to as the ‘</w:t>
      </w:r>
      <w:r w:rsidR="00C62551">
        <w:rPr>
          <w:b/>
        </w:rPr>
        <w:t>Customer’</w:t>
      </w:r>
      <w:r>
        <w:rPr>
          <w:b/>
        </w:rPr>
        <w:t>)</w:t>
      </w:r>
    </w:p>
    <w:p w14:paraId="0000000B" w14:textId="77777777" w:rsidR="003F1A6D" w:rsidRDefault="003F1A6D">
      <w:pPr>
        <w:pBdr>
          <w:top w:val="nil"/>
          <w:left w:val="nil"/>
          <w:bottom w:val="nil"/>
          <w:right w:val="nil"/>
          <w:between w:val="nil"/>
        </w:pBdr>
        <w:spacing w:after="0" w:line="240" w:lineRule="auto"/>
        <w:jc w:val="both"/>
        <w:rPr>
          <w:rFonts w:ascii="Arial" w:eastAsia="Arial" w:hAnsi="Arial" w:cs="Arial"/>
          <w:color w:val="000000"/>
        </w:rPr>
      </w:pPr>
    </w:p>
    <w:p w14:paraId="0000000C" w14:textId="77777777" w:rsidR="003F1A6D" w:rsidRDefault="00DB5D40">
      <w:pPr>
        <w:pStyle w:val="P68B1DB1-Normln4"/>
        <w:pBdr>
          <w:top w:val="nil"/>
          <w:left w:val="nil"/>
          <w:bottom w:val="nil"/>
          <w:right w:val="nil"/>
          <w:between w:val="nil"/>
        </w:pBdr>
        <w:spacing w:after="0" w:line="240" w:lineRule="auto"/>
        <w:jc w:val="both"/>
      </w:pPr>
      <w:r>
        <w:t>a</w:t>
      </w:r>
    </w:p>
    <w:p w14:paraId="0000000D" w14:textId="77777777" w:rsidR="003F1A6D" w:rsidRDefault="003F1A6D">
      <w:pPr>
        <w:pBdr>
          <w:top w:val="nil"/>
          <w:left w:val="nil"/>
          <w:bottom w:val="nil"/>
          <w:right w:val="nil"/>
          <w:between w:val="nil"/>
        </w:pBdr>
        <w:spacing w:after="0" w:line="240" w:lineRule="auto"/>
        <w:jc w:val="both"/>
        <w:rPr>
          <w:rFonts w:ascii="Arial" w:eastAsia="Arial" w:hAnsi="Arial" w:cs="Arial"/>
          <w:color w:val="000000"/>
        </w:rPr>
      </w:pPr>
    </w:p>
    <w:p w14:paraId="0000000E" w14:textId="00207F31" w:rsidR="003F1A6D" w:rsidRDefault="00DB5D40">
      <w:pPr>
        <w:pStyle w:val="P68B1DB1-Normln5"/>
        <w:spacing w:after="0" w:line="240" w:lineRule="auto"/>
        <w:jc w:val="both"/>
        <w:rPr>
          <w:bCs/>
        </w:rPr>
      </w:pPr>
      <w:r>
        <w:t>[to</w:t>
      </w:r>
      <w:r w:rsidR="00C62551">
        <w:t xml:space="preserve"> </w:t>
      </w:r>
      <w:r>
        <w:rPr>
          <w:highlight w:val="lightGray"/>
        </w:rPr>
        <w:t xml:space="preserve">be completed according to the cover </w:t>
      </w:r>
      <w:proofErr w:type="gramStart"/>
      <w:r>
        <w:rPr>
          <w:highlight w:val="lightGray"/>
        </w:rPr>
        <w:t>sheet ]</w:t>
      </w:r>
      <w:proofErr w:type="gramEnd"/>
      <w:r>
        <w:rPr>
          <w:highlight w:val="lightGray"/>
        </w:rPr>
        <w:t>,</w:t>
      </w:r>
      <w:r>
        <w:t xml:space="preserve"> </w:t>
      </w:r>
    </w:p>
    <w:p w14:paraId="0000000F" w14:textId="2E11708B" w:rsidR="003F1A6D" w:rsidRDefault="00DB5D40">
      <w:pPr>
        <w:pStyle w:val="P68B1DB1-Normln3"/>
        <w:spacing w:after="0" w:line="240" w:lineRule="auto"/>
        <w:jc w:val="both"/>
      </w:pPr>
      <w:r>
        <w:rPr>
          <w:color w:val="000000"/>
        </w:rPr>
        <w:t>with its registered office</w:t>
      </w:r>
      <w:r w:rsidR="00C62551">
        <w:rPr>
          <w:color w:val="000000"/>
        </w:rPr>
        <w:t>:</w:t>
      </w:r>
      <w:r>
        <w:rPr>
          <w:color w:val="000000"/>
        </w:rPr>
        <w:t xml:space="preserve"> </w:t>
      </w:r>
      <w:r>
        <w:t>[to</w:t>
      </w:r>
      <w:r w:rsidR="00C62551">
        <w:t xml:space="preserve"> </w:t>
      </w:r>
      <w:r>
        <w:rPr>
          <w:highlight w:val="lightGray"/>
        </w:rPr>
        <w:t xml:space="preserve">be completed according to the cover </w:t>
      </w:r>
      <w:proofErr w:type="gramStart"/>
      <w:r>
        <w:rPr>
          <w:highlight w:val="lightGray"/>
        </w:rPr>
        <w:t>sheet ]</w:t>
      </w:r>
      <w:proofErr w:type="gramEnd"/>
      <w:r>
        <w:rPr>
          <w:highlight w:val="lightGray"/>
        </w:rPr>
        <w:t>,</w:t>
      </w:r>
      <w:r>
        <w:t xml:space="preserve"> </w:t>
      </w:r>
    </w:p>
    <w:p w14:paraId="00000010" w14:textId="584737F2" w:rsidR="003F1A6D" w:rsidRDefault="00DB5D40">
      <w:pPr>
        <w:pStyle w:val="P68B1DB1-Normln3"/>
        <w:spacing w:after="0" w:line="240" w:lineRule="auto"/>
        <w:jc w:val="both"/>
      </w:pPr>
      <w:r>
        <w:t>Registration number: [to</w:t>
      </w:r>
      <w:r w:rsidR="00C62551">
        <w:t xml:space="preserve"> </w:t>
      </w:r>
      <w:r>
        <w:rPr>
          <w:highlight w:val="lightGray"/>
        </w:rPr>
        <w:t xml:space="preserve">be completed according to the cover </w:t>
      </w:r>
      <w:proofErr w:type="gramStart"/>
      <w:r>
        <w:rPr>
          <w:highlight w:val="lightGray"/>
        </w:rPr>
        <w:t>sheet ]</w:t>
      </w:r>
      <w:proofErr w:type="gramEnd"/>
    </w:p>
    <w:p w14:paraId="00000011" w14:textId="7232B5D1" w:rsidR="003F1A6D" w:rsidRDefault="00C62551">
      <w:pPr>
        <w:pStyle w:val="P68B1DB1-Normln3"/>
        <w:spacing w:after="0" w:line="240" w:lineRule="auto"/>
        <w:jc w:val="both"/>
      </w:pPr>
      <w:r>
        <w:t>Tax ID</w:t>
      </w:r>
      <w:r w:rsidR="00DB5D40">
        <w:t>: [to</w:t>
      </w:r>
      <w:r>
        <w:t xml:space="preserve"> </w:t>
      </w:r>
      <w:r w:rsidR="00DB5D40">
        <w:rPr>
          <w:highlight w:val="lightGray"/>
        </w:rPr>
        <w:t xml:space="preserve">be completed according to the cover </w:t>
      </w:r>
      <w:proofErr w:type="gramStart"/>
      <w:r w:rsidR="00DB5D40">
        <w:rPr>
          <w:highlight w:val="lightGray"/>
        </w:rPr>
        <w:t>sheet ]</w:t>
      </w:r>
      <w:proofErr w:type="gramEnd"/>
    </w:p>
    <w:p w14:paraId="00000013" w14:textId="0BEB3378" w:rsidR="003F1A6D" w:rsidRDefault="00DB5D40">
      <w:pPr>
        <w:pStyle w:val="P68B1DB1-Normln3"/>
        <w:spacing w:after="0" w:line="240" w:lineRule="auto"/>
        <w:jc w:val="both"/>
      </w:pPr>
      <w:r>
        <w:t>account number: [to</w:t>
      </w:r>
      <w:r w:rsidR="00C62551">
        <w:t xml:space="preserve"> </w:t>
      </w:r>
      <w:r>
        <w:rPr>
          <w:highlight w:val="lightGray"/>
        </w:rPr>
        <w:t xml:space="preserve">be completed according to the cover </w:t>
      </w:r>
      <w:proofErr w:type="gramStart"/>
      <w:r>
        <w:rPr>
          <w:highlight w:val="lightGray"/>
        </w:rPr>
        <w:t>sheet ]</w:t>
      </w:r>
      <w:proofErr w:type="gramEnd"/>
    </w:p>
    <w:p w14:paraId="00000014" w14:textId="0D4B6B6A" w:rsidR="003F1A6D" w:rsidRDefault="00DB5D40">
      <w:pPr>
        <w:pStyle w:val="P68B1DB1-Normln4"/>
        <w:pBdr>
          <w:top w:val="nil"/>
          <w:left w:val="nil"/>
          <w:bottom w:val="nil"/>
          <w:right w:val="nil"/>
          <w:between w:val="nil"/>
        </w:pBdr>
        <w:spacing w:after="0" w:line="240" w:lineRule="auto"/>
        <w:jc w:val="both"/>
      </w:pPr>
      <w:r>
        <w:rPr>
          <w:b/>
        </w:rPr>
        <w:t xml:space="preserve"> </w:t>
      </w:r>
      <w:r>
        <w:t xml:space="preserve">(hereinafter referred </w:t>
      </w:r>
      <w:r>
        <w:rPr>
          <w:b/>
        </w:rPr>
        <w:t xml:space="preserve">to as ‘the </w:t>
      </w:r>
      <w:r w:rsidR="00C62551">
        <w:rPr>
          <w:b/>
        </w:rPr>
        <w:t>Provider</w:t>
      </w:r>
      <w:r>
        <w:rPr>
          <w:b/>
        </w:rPr>
        <w:t>’)</w:t>
      </w:r>
    </w:p>
    <w:p w14:paraId="00000015" w14:textId="77777777" w:rsidR="003F1A6D" w:rsidRDefault="003F1A6D">
      <w:pPr>
        <w:pBdr>
          <w:top w:val="nil"/>
          <w:left w:val="nil"/>
          <w:bottom w:val="nil"/>
          <w:right w:val="nil"/>
          <w:between w:val="nil"/>
        </w:pBdr>
        <w:spacing w:after="0" w:line="240" w:lineRule="auto"/>
        <w:jc w:val="both"/>
        <w:rPr>
          <w:rFonts w:ascii="Arial" w:eastAsia="Arial" w:hAnsi="Arial" w:cs="Arial"/>
          <w:color w:val="000000"/>
        </w:rPr>
      </w:pPr>
    </w:p>
    <w:p w14:paraId="00000016" w14:textId="16453843" w:rsidR="003F1A6D" w:rsidRDefault="00DB5D40">
      <w:pPr>
        <w:pStyle w:val="P68B1DB1-Normln4"/>
        <w:pBdr>
          <w:top w:val="nil"/>
          <w:left w:val="nil"/>
          <w:bottom w:val="nil"/>
          <w:right w:val="nil"/>
          <w:between w:val="nil"/>
        </w:pBdr>
        <w:spacing w:after="0" w:line="240" w:lineRule="auto"/>
        <w:jc w:val="both"/>
      </w:pPr>
      <w:r>
        <w:t xml:space="preserve">(The </w:t>
      </w:r>
      <w:r w:rsidR="00C62551">
        <w:t xml:space="preserve">Costumer </w:t>
      </w:r>
      <w:r>
        <w:t xml:space="preserve">and the </w:t>
      </w:r>
      <w:r w:rsidR="00C62551">
        <w:t>Provider</w:t>
      </w:r>
      <w:r>
        <w:t xml:space="preserve"> hereinafter collectively referred to as </w:t>
      </w:r>
      <w:r w:rsidRPr="00C62551">
        <w:rPr>
          <w:bCs/>
        </w:rPr>
        <w:t>the</w:t>
      </w:r>
      <w:r>
        <w:rPr>
          <w:b/>
        </w:rPr>
        <w:t xml:space="preserve"> ‘</w:t>
      </w:r>
      <w:r w:rsidR="00C40B92">
        <w:rPr>
          <w:b/>
        </w:rPr>
        <w:t>Contracting Parties / Parties</w:t>
      </w:r>
      <w:r>
        <w:rPr>
          <w:b/>
        </w:rPr>
        <w:t>’</w:t>
      </w:r>
      <w:r>
        <w:t xml:space="preserve"> and each of them individually as </w:t>
      </w:r>
      <w:r w:rsidRPr="00C62551">
        <w:rPr>
          <w:bCs/>
        </w:rPr>
        <w:t>the</w:t>
      </w:r>
      <w:r>
        <w:rPr>
          <w:b/>
        </w:rPr>
        <w:t xml:space="preserve"> ‘Party’</w:t>
      </w:r>
      <w:r>
        <w:t>)</w:t>
      </w:r>
    </w:p>
    <w:p w14:paraId="00000017" w14:textId="77777777" w:rsidR="003F1A6D" w:rsidRDefault="003F1A6D">
      <w:pPr>
        <w:pBdr>
          <w:top w:val="nil"/>
          <w:left w:val="nil"/>
          <w:bottom w:val="nil"/>
          <w:right w:val="nil"/>
          <w:between w:val="nil"/>
        </w:pBdr>
        <w:spacing w:after="0" w:line="240" w:lineRule="auto"/>
        <w:ind w:left="-28"/>
        <w:jc w:val="both"/>
        <w:rPr>
          <w:rFonts w:ascii="Arial" w:eastAsia="Arial" w:hAnsi="Arial" w:cs="Arial"/>
          <w:b/>
          <w:bCs/>
          <w:color w:val="000000"/>
        </w:rPr>
      </w:pPr>
    </w:p>
    <w:p w14:paraId="00000018" w14:textId="77777777" w:rsidR="003F1A6D" w:rsidRDefault="00DB5D40">
      <w:pPr>
        <w:pStyle w:val="P68B1DB1-Normln5"/>
        <w:pBdr>
          <w:top w:val="nil"/>
          <w:left w:val="nil"/>
          <w:bottom w:val="nil"/>
          <w:right w:val="nil"/>
          <w:between w:val="nil"/>
        </w:pBdr>
        <w:spacing w:after="0" w:line="240" w:lineRule="auto"/>
        <w:ind w:left="-28"/>
        <w:jc w:val="both"/>
        <w:rPr>
          <w:bCs/>
        </w:rPr>
      </w:pPr>
      <w:r>
        <w:t>Whereas:</w:t>
      </w:r>
    </w:p>
    <w:p w14:paraId="00000019" w14:textId="788C2AB8" w:rsidR="003F1A6D" w:rsidRDefault="00DB5D40">
      <w:pPr>
        <w:pStyle w:val="P68B1DB1-Normln4"/>
        <w:numPr>
          <w:ilvl w:val="0"/>
          <w:numId w:val="8"/>
        </w:numPr>
        <w:pBdr>
          <w:top w:val="nil"/>
          <w:left w:val="nil"/>
          <w:bottom w:val="nil"/>
          <w:right w:val="nil"/>
          <w:between w:val="nil"/>
        </w:pBdr>
        <w:spacing w:after="0" w:line="240" w:lineRule="auto"/>
        <w:ind w:left="426" w:hanging="454"/>
        <w:jc w:val="both"/>
      </w:pPr>
      <w:bookmarkStart w:id="0" w:name="_heading=h.nmu65dbxn8y4" w:colFirst="0" w:colLast="0"/>
      <w:bookmarkEnd w:id="0"/>
      <w:r>
        <w:t xml:space="preserve">The contracting </w:t>
      </w:r>
      <w:r w:rsidR="00C40B92">
        <w:t>Parties</w:t>
      </w:r>
      <w:r>
        <w:t xml:space="preserve"> conclude this contract as a result of the public procurement procedure for the ‘</w:t>
      </w:r>
      <w:r w:rsidRPr="00C62551">
        <w:rPr>
          <w:b/>
          <w:bCs/>
        </w:rPr>
        <w:t>eHealth</w:t>
      </w:r>
      <w:r w:rsidR="00C62551">
        <w:rPr>
          <w:b/>
          <w:bCs/>
        </w:rPr>
        <w:t xml:space="preserve"> s</w:t>
      </w:r>
      <w:r w:rsidRPr="00C62551">
        <w:rPr>
          <w:b/>
          <w:bCs/>
        </w:rPr>
        <w:t>ervices</w:t>
      </w:r>
      <w:r>
        <w:rPr>
          <w:b/>
        </w:rPr>
        <w:t xml:space="preserve"> of the Vysočina Region – accredited affinity domain </w:t>
      </w:r>
      <w:proofErr w:type="spellStart"/>
      <w:r>
        <w:rPr>
          <w:b/>
        </w:rPr>
        <w:t>eMeDocS</w:t>
      </w:r>
      <w:proofErr w:type="spellEnd"/>
      <w:r>
        <w:rPr>
          <w:b/>
        </w:rPr>
        <w:t xml:space="preserve"> II.’</w:t>
      </w:r>
      <w:r w:rsidR="00C62551">
        <w:rPr>
          <w:b/>
        </w:rPr>
        <w:t xml:space="preserve"> </w:t>
      </w:r>
      <w:r>
        <w:t xml:space="preserve">(hereinafter referred to as </w:t>
      </w:r>
      <w:r>
        <w:rPr>
          <w:i/>
        </w:rPr>
        <w:t>the ‘</w:t>
      </w:r>
      <w:r w:rsidRPr="00C62551">
        <w:rPr>
          <w:b/>
          <w:bCs/>
          <w:iCs/>
        </w:rPr>
        <w:t>procurement</w:t>
      </w:r>
      <w:r w:rsidR="00C62551">
        <w:rPr>
          <w:i/>
        </w:rPr>
        <w:t xml:space="preserve"> </w:t>
      </w:r>
      <w:r>
        <w:rPr>
          <w:b/>
          <w:i/>
        </w:rPr>
        <w:t>procedure’),</w:t>
      </w:r>
      <w:r w:rsidR="00C62551">
        <w:rPr>
          <w:b/>
          <w:i/>
        </w:rPr>
        <w:t xml:space="preserve"> </w:t>
      </w:r>
      <w:r>
        <w:t xml:space="preserve">according to the Provider’s </w:t>
      </w:r>
      <w:r w:rsidR="00C62551">
        <w:t>tender</w:t>
      </w:r>
      <w:r>
        <w:t>;</w:t>
      </w:r>
    </w:p>
    <w:p w14:paraId="0000001A" w14:textId="20549C19" w:rsidR="003F1A6D" w:rsidRDefault="00DB5D40">
      <w:pPr>
        <w:numPr>
          <w:ilvl w:val="0"/>
          <w:numId w:val="8"/>
        </w:numPr>
        <w:pBdr>
          <w:top w:val="nil"/>
          <w:left w:val="nil"/>
          <w:bottom w:val="nil"/>
          <w:right w:val="nil"/>
          <w:between w:val="nil"/>
        </w:pBdr>
        <w:spacing w:after="0" w:line="240" w:lineRule="auto"/>
        <w:ind w:left="426" w:hanging="426"/>
        <w:jc w:val="both"/>
        <w:rPr>
          <w:rFonts w:ascii="Arial" w:eastAsia="Arial" w:hAnsi="Arial" w:cs="Arial"/>
          <w:color w:val="000000"/>
        </w:rPr>
      </w:pPr>
      <w:r>
        <w:rPr>
          <w:rFonts w:ascii="Arial" w:eastAsia="Arial" w:hAnsi="Arial" w:cs="Arial"/>
          <w:color w:val="000000"/>
        </w:rPr>
        <w:t xml:space="preserve">The Provider declares that it is competent for the proper and timely provision of services under this </w:t>
      </w:r>
      <w:r w:rsidR="00C62551">
        <w:rPr>
          <w:rFonts w:ascii="Arial" w:eastAsia="Arial" w:hAnsi="Arial" w:cs="Arial"/>
          <w:color w:val="000000"/>
        </w:rPr>
        <w:t>Contract</w:t>
      </w:r>
      <w:r>
        <w:rPr>
          <w:rFonts w:ascii="Arial" w:eastAsia="Arial" w:hAnsi="Arial" w:cs="Arial"/>
          <w:color w:val="000000"/>
        </w:rPr>
        <w:t xml:space="preserve"> and that it has the capacities and expertise required for the proper and timely provision of services, assuming a staffing </w:t>
      </w:r>
      <w:sdt>
        <w:sdtPr>
          <w:rPr>
            <w:rFonts w:ascii="Arial" w:eastAsia="Arial" w:hAnsi="Arial" w:cs="Arial"/>
            <w:color w:val="000000"/>
          </w:rPr>
          <w:tag w:val="goog_rdk_20"/>
          <w:id w:val="1360527308"/>
        </w:sdtPr>
        <w:sdtEndPr/>
        <w:sdtContent/>
      </w:sdt>
      <w:sdt>
        <w:sdtPr>
          <w:rPr>
            <w:rFonts w:ascii="Arial" w:eastAsia="Arial" w:hAnsi="Arial" w:cs="Arial"/>
            <w:color w:val="000000"/>
          </w:rPr>
          <w:tag w:val="goog_rdk_21"/>
          <w:id w:val="-1147608295"/>
        </w:sdtPr>
        <w:sdtEndPr/>
        <w:sdtContent/>
      </w:sdt>
      <w:r>
        <w:rPr>
          <w:rFonts w:ascii="Arial" w:eastAsia="Arial" w:hAnsi="Arial" w:cs="Arial"/>
          <w:color w:val="000000"/>
        </w:rPr>
        <w:t>capacity for the maintenance and development of 1.5 FTE developers, 0.5 FTE analyst, 0.25 FTE project manager, 0.25 FTE security analyst;</w:t>
      </w:r>
    </w:p>
    <w:p w14:paraId="0000001B" w14:textId="39F75D19" w:rsidR="003F1A6D" w:rsidRDefault="00DB5D40">
      <w:pPr>
        <w:pStyle w:val="P68B1DB1-Normln4"/>
        <w:numPr>
          <w:ilvl w:val="0"/>
          <w:numId w:val="8"/>
        </w:numPr>
        <w:pBdr>
          <w:top w:val="nil"/>
          <w:left w:val="nil"/>
          <w:bottom w:val="nil"/>
          <w:right w:val="nil"/>
          <w:between w:val="nil"/>
        </w:pBdr>
        <w:spacing w:after="0" w:line="240" w:lineRule="auto"/>
        <w:ind w:left="426" w:hanging="426"/>
        <w:jc w:val="both"/>
      </w:pPr>
      <w:r>
        <w:t xml:space="preserve">The Contracting </w:t>
      </w:r>
      <w:r w:rsidR="00C40B92">
        <w:t>Parties</w:t>
      </w:r>
      <w:r>
        <w:t xml:space="preserve"> have an interest in cooperating with each other under the conditions laid down in this </w:t>
      </w:r>
      <w:r w:rsidR="00C62551">
        <w:t>Contract</w:t>
      </w:r>
      <w:r>
        <w:t>;</w:t>
      </w:r>
    </w:p>
    <w:p w14:paraId="0000001C" w14:textId="77777777" w:rsidR="003F1A6D" w:rsidRDefault="00DB5D40">
      <w:pPr>
        <w:pStyle w:val="P68B1DB1-Normln5"/>
        <w:pBdr>
          <w:top w:val="nil"/>
          <w:left w:val="nil"/>
          <w:bottom w:val="nil"/>
          <w:right w:val="nil"/>
          <w:between w:val="nil"/>
        </w:pBdr>
        <w:spacing w:after="0" w:line="240" w:lineRule="auto"/>
        <w:jc w:val="both"/>
        <w:rPr>
          <w:bCs/>
        </w:rPr>
      </w:pPr>
      <w:r>
        <w:t>the following was agreed:</w:t>
      </w:r>
    </w:p>
    <w:p w14:paraId="0000001D" w14:textId="77777777" w:rsidR="003F1A6D" w:rsidRDefault="003F1A6D">
      <w:pPr>
        <w:pBdr>
          <w:top w:val="nil"/>
          <w:left w:val="nil"/>
          <w:bottom w:val="nil"/>
          <w:right w:val="nil"/>
          <w:between w:val="nil"/>
        </w:pBdr>
        <w:spacing w:after="0" w:line="240" w:lineRule="auto"/>
        <w:jc w:val="both"/>
        <w:rPr>
          <w:rFonts w:ascii="Arial" w:eastAsia="Arial" w:hAnsi="Arial" w:cs="Arial"/>
          <w:b/>
          <w:bCs/>
          <w:color w:val="000000"/>
        </w:rPr>
      </w:pPr>
    </w:p>
    <w:p w14:paraId="0000001E" w14:textId="77777777" w:rsidR="003F1A6D" w:rsidRDefault="00DB5D40">
      <w:pPr>
        <w:pStyle w:val="P68B1DB1-Normln5"/>
        <w:numPr>
          <w:ilvl w:val="0"/>
          <w:numId w:val="7"/>
        </w:numPr>
        <w:pBdr>
          <w:top w:val="nil"/>
          <w:left w:val="nil"/>
          <w:bottom w:val="nil"/>
          <w:right w:val="nil"/>
          <w:between w:val="nil"/>
        </w:pBdr>
        <w:spacing w:after="0" w:line="240" w:lineRule="auto"/>
        <w:ind w:hanging="720"/>
        <w:jc w:val="both"/>
        <w:rPr>
          <w:bCs/>
        </w:rPr>
      </w:pPr>
      <w:r>
        <w:t>Subject matter of the contract</w:t>
      </w:r>
    </w:p>
    <w:p w14:paraId="0000001F" w14:textId="77777777" w:rsidR="003F1A6D" w:rsidRDefault="00DB5D40">
      <w:pPr>
        <w:pStyle w:val="P68B1DB1-Normln3"/>
        <w:numPr>
          <w:ilvl w:val="1"/>
          <w:numId w:val="9"/>
        </w:numPr>
        <w:spacing w:after="0" w:line="240" w:lineRule="auto"/>
        <w:jc w:val="both"/>
      </w:pPr>
      <w:r>
        <w:t>The Provider undertakes to provide, at its expense and risk, properly and timely further specified service and the Customer undertakes to pay the agreed price for properly and timely provided service.</w:t>
      </w:r>
    </w:p>
    <w:p w14:paraId="00000020" w14:textId="19D3D43B" w:rsidR="003F1A6D" w:rsidRDefault="00DB5D40">
      <w:pPr>
        <w:pStyle w:val="P68B1DB1-Normln3"/>
        <w:numPr>
          <w:ilvl w:val="1"/>
          <w:numId w:val="9"/>
        </w:numPr>
        <w:spacing w:after="0" w:line="240" w:lineRule="auto"/>
        <w:jc w:val="both"/>
      </w:pPr>
      <w:r>
        <w:t xml:space="preserve">Under the terms and conditions set out in this </w:t>
      </w:r>
      <w:r w:rsidR="00C62551">
        <w:t>Contract</w:t>
      </w:r>
      <w:r w:rsidRPr="00C62551">
        <w:t xml:space="preserve">, the Provider undertakes to provide the </w:t>
      </w:r>
      <w:r w:rsidR="00C62551" w:rsidRPr="00C62551">
        <w:t>Costumer</w:t>
      </w:r>
      <w:r w:rsidRPr="00C62551">
        <w:t xml:space="preserve"> with services relating to the </w:t>
      </w:r>
      <w:proofErr w:type="spellStart"/>
      <w:r w:rsidRPr="00C62551">
        <w:t>eMeDocS</w:t>
      </w:r>
      <w:proofErr w:type="spellEnd"/>
      <w:r w:rsidRPr="00C62551">
        <w:t xml:space="preserve"> II Accredited Affinity Domain, i.e.</w:t>
      </w:r>
      <w:r w:rsidR="00C62551">
        <w:t xml:space="preserve"> </w:t>
      </w:r>
      <w:r>
        <w:rPr>
          <w:color w:val="000000"/>
        </w:rPr>
        <w:t xml:space="preserve">the application/software </w:t>
      </w:r>
      <w:r>
        <w:rPr>
          <w:b/>
          <w:color w:val="000000"/>
        </w:rPr>
        <w:t>[to</w:t>
      </w:r>
      <w:r w:rsidR="00C62551">
        <w:rPr>
          <w:b/>
          <w:color w:val="000000"/>
        </w:rPr>
        <w:t xml:space="preserve"> </w:t>
      </w:r>
      <w:r>
        <w:rPr>
          <w:b/>
          <w:color w:val="000000"/>
          <w:highlight w:val="lightGray"/>
        </w:rPr>
        <w:t xml:space="preserve">be completed according to the </w:t>
      </w:r>
      <w:r w:rsidR="00C62551">
        <w:rPr>
          <w:b/>
          <w:color w:val="000000"/>
          <w:highlight w:val="lightGray"/>
        </w:rPr>
        <w:t>tender</w:t>
      </w:r>
      <w:r>
        <w:rPr>
          <w:b/>
          <w:color w:val="000000"/>
          <w:highlight w:val="lightGray"/>
        </w:rPr>
        <w:t xml:space="preserve"> - title</w:t>
      </w:r>
      <w:r>
        <w:rPr>
          <w:b/>
          <w:color w:val="000000"/>
        </w:rPr>
        <w:t>]</w:t>
      </w:r>
      <w:r>
        <w:rPr>
          <w:color w:val="000000"/>
        </w:rPr>
        <w:t xml:space="preserve"> </w:t>
      </w:r>
      <w:r>
        <w:rPr>
          <w:b/>
        </w:rPr>
        <w:t xml:space="preserve">(hereinafter also referred to </w:t>
      </w:r>
      <w:r>
        <w:t xml:space="preserve">as </w:t>
      </w:r>
      <w:r>
        <w:rPr>
          <w:b/>
          <w:i/>
        </w:rPr>
        <w:t>“IS”</w:t>
      </w:r>
      <w:r>
        <w:t xml:space="preserve">). The services are further specified in Annex 1 to this contract. The </w:t>
      </w:r>
      <w:proofErr w:type="spellStart"/>
      <w:r>
        <w:t>categorisation</w:t>
      </w:r>
      <w:proofErr w:type="spellEnd"/>
      <w:r>
        <w:t xml:space="preserve"> and level of service under this service contract in relation to the IS </w:t>
      </w:r>
      <w:proofErr w:type="spellStart"/>
      <w:r>
        <w:t>is</w:t>
      </w:r>
      <w:proofErr w:type="spellEnd"/>
      <w:r>
        <w:t xml:space="preserve"> set out in Annex 1 to this contract. All services provided under this contract are also hereinafter referred to as ‘</w:t>
      </w:r>
      <w:proofErr w:type="gramStart"/>
      <w:r>
        <w:t>services’</w:t>
      </w:r>
      <w:proofErr w:type="gramEnd"/>
      <w:r>
        <w:t>.</w:t>
      </w:r>
    </w:p>
    <w:p w14:paraId="00000021" w14:textId="5E564498" w:rsidR="003F1A6D" w:rsidRDefault="00DB5D40">
      <w:pPr>
        <w:pStyle w:val="P68B1DB1-Normln3"/>
        <w:numPr>
          <w:ilvl w:val="1"/>
          <w:numId w:val="9"/>
        </w:numPr>
        <w:spacing w:after="0" w:line="240" w:lineRule="auto"/>
        <w:jc w:val="both"/>
      </w:pPr>
      <w:r>
        <w:t xml:space="preserve">The Provider undertakes to deliver the IS to the </w:t>
      </w:r>
      <w:r w:rsidR="00C62551">
        <w:t>Costumer</w:t>
      </w:r>
      <w:r>
        <w:t xml:space="preserve"> on the basis of a contract for work concluded in parallel with this service contract. The performance of this contract </w:t>
      </w:r>
      <w:r>
        <w:lastRenderedPageBreak/>
        <w:t>will commence after the termination of the investment part of the contract for work (PL 05).</w:t>
      </w:r>
    </w:p>
    <w:p w14:paraId="00000022" w14:textId="77777777" w:rsidR="003F1A6D" w:rsidRDefault="00DB5D40">
      <w:pPr>
        <w:pStyle w:val="P68B1DB1-Normln3"/>
        <w:numPr>
          <w:ilvl w:val="1"/>
          <w:numId w:val="9"/>
        </w:numPr>
        <w:spacing w:after="0" w:line="240" w:lineRule="auto"/>
        <w:jc w:val="both"/>
      </w:pPr>
      <w:r>
        <w:t>The service will be performed in the following categories:</w:t>
      </w:r>
    </w:p>
    <w:p w14:paraId="00000023" w14:textId="77777777" w:rsidR="003F1A6D" w:rsidRDefault="00DB5D40">
      <w:pPr>
        <w:pStyle w:val="P68B1DB1-Normln4"/>
        <w:numPr>
          <w:ilvl w:val="0"/>
          <w:numId w:val="3"/>
        </w:numPr>
        <w:pBdr>
          <w:top w:val="nil"/>
          <w:left w:val="nil"/>
          <w:bottom w:val="nil"/>
          <w:right w:val="nil"/>
          <w:between w:val="nil"/>
        </w:pBdr>
        <w:spacing w:after="0" w:line="240" w:lineRule="auto"/>
        <w:jc w:val="both"/>
      </w:pPr>
      <w:r>
        <w:t>Maintenance;</w:t>
      </w:r>
    </w:p>
    <w:p w14:paraId="00000024" w14:textId="77777777" w:rsidR="003F1A6D" w:rsidRDefault="00DB5D40">
      <w:pPr>
        <w:pStyle w:val="P68B1DB1-Normln4"/>
        <w:numPr>
          <w:ilvl w:val="0"/>
          <w:numId w:val="3"/>
        </w:numPr>
        <w:pBdr>
          <w:top w:val="nil"/>
          <w:left w:val="nil"/>
          <w:bottom w:val="nil"/>
          <w:right w:val="nil"/>
          <w:between w:val="nil"/>
        </w:pBdr>
        <w:spacing w:after="0" w:line="240" w:lineRule="auto"/>
        <w:jc w:val="both"/>
      </w:pPr>
      <w:r>
        <w:t>Technical support and development;</w:t>
      </w:r>
    </w:p>
    <w:p w14:paraId="00000025" w14:textId="77777777" w:rsidR="003F1A6D" w:rsidRDefault="00DB5D40">
      <w:pPr>
        <w:pStyle w:val="P68B1DB1-Normln4"/>
        <w:numPr>
          <w:ilvl w:val="0"/>
          <w:numId w:val="3"/>
        </w:numPr>
        <w:pBdr>
          <w:top w:val="nil"/>
          <w:left w:val="nil"/>
          <w:bottom w:val="nil"/>
          <w:right w:val="nil"/>
          <w:between w:val="nil"/>
        </w:pBdr>
        <w:spacing w:after="0" w:line="240" w:lineRule="auto"/>
        <w:jc w:val="both"/>
      </w:pPr>
      <w:r>
        <w:t>Dealing with incidents.</w:t>
      </w:r>
    </w:p>
    <w:p w14:paraId="00000026" w14:textId="77777777" w:rsidR="003F1A6D" w:rsidRDefault="00DB5D40">
      <w:pPr>
        <w:pStyle w:val="P68B1DB1-Normln3"/>
        <w:numPr>
          <w:ilvl w:val="1"/>
          <w:numId w:val="9"/>
        </w:numPr>
        <w:spacing w:after="0" w:line="240" w:lineRule="auto"/>
        <w:jc w:val="both"/>
      </w:pPr>
      <w:r>
        <w:t>The specifications of the different categories of incidents and the level of service linked to them are set out in Annex 1 to this contract.</w:t>
      </w:r>
    </w:p>
    <w:p w14:paraId="00000027" w14:textId="77777777" w:rsidR="003F1A6D" w:rsidRDefault="00DB5D40">
      <w:pPr>
        <w:pStyle w:val="P68B1DB1-Normln3"/>
        <w:numPr>
          <w:ilvl w:val="1"/>
          <w:numId w:val="9"/>
        </w:numPr>
        <w:spacing w:after="0" w:line="240" w:lineRule="auto"/>
        <w:jc w:val="both"/>
      </w:pPr>
      <w:r>
        <w:t xml:space="preserve">The removal of warranty defects is also governed by the categories of incidents and their associated service levels according to Annex 1 to this contract. </w:t>
      </w:r>
    </w:p>
    <w:p w14:paraId="00000028" w14:textId="2F4139E4" w:rsidR="003F1A6D" w:rsidRDefault="00DB5D40">
      <w:pPr>
        <w:pStyle w:val="P68B1DB1-Normln3"/>
        <w:numPr>
          <w:ilvl w:val="1"/>
          <w:numId w:val="9"/>
        </w:numPr>
        <w:spacing w:after="0" w:line="240" w:lineRule="auto"/>
        <w:jc w:val="both"/>
      </w:pPr>
      <w:r>
        <w:t xml:space="preserve">The Provider is obliged to provide service under this </w:t>
      </w:r>
      <w:r w:rsidR="00C62551">
        <w:t>Contract</w:t>
      </w:r>
      <w:r>
        <w:t xml:space="preserve"> so that IS availability is at least 99.9% during operating hours in each calendar month for the entire duration of this </w:t>
      </w:r>
      <w:r w:rsidR="00C62551">
        <w:t>Contract</w:t>
      </w:r>
      <w:r>
        <w:t>. The calculation of the availability actually achieved shall follow the methodology set out in Annex 1 to this contract. The operating time of the IS for the purposes of this article of the contract shall be the same as the service standby time pursuant to Article 2.4 of the contract.</w:t>
      </w:r>
    </w:p>
    <w:p w14:paraId="00000029" w14:textId="77777777" w:rsidR="003F1A6D" w:rsidRDefault="003F1A6D">
      <w:pPr>
        <w:spacing w:after="0" w:line="240" w:lineRule="auto"/>
        <w:jc w:val="both"/>
        <w:rPr>
          <w:rFonts w:ascii="Arial" w:eastAsia="Arial" w:hAnsi="Arial" w:cs="Arial"/>
        </w:rPr>
      </w:pPr>
    </w:p>
    <w:p w14:paraId="0000002A" w14:textId="77777777" w:rsidR="003F1A6D" w:rsidRDefault="00DB5D40">
      <w:pPr>
        <w:pStyle w:val="P68B1DB1-Normln5"/>
        <w:numPr>
          <w:ilvl w:val="0"/>
          <w:numId w:val="7"/>
        </w:numPr>
        <w:pBdr>
          <w:top w:val="nil"/>
          <w:left w:val="nil"/>
          <w:bottom w:val="nil"/>
          <w:right w:val="nil"/>
          <w:between w:val="nil"/>
        </w:pBdr>
        <w:spacing w:after="0" w:line="240" w:lineRule="auto"/>
        <w:ind w:hanging="720"/>
        <w:jc w:val="both"/>
        <w:rPr>
          <w:bCs/>
        </w:rPr>
      </w:pPr>
      <w:bookmarkStart w:id="1" w:name="_heading=h.gjdgxs" w:colFirst="0" w:colLast="0"/>
      <w:bookmarkEnd w:id="1"/>
      <w:r>
        <w:t>Provision of services</w:t>
      </w:r>
    </w:p>
    <w:p w14:paraId="0000002B" w14:textId="77777777" w:rsidR="003F1A6D" w:rsidRDefault="00DB5D40">
      <w:pPr>
        <w:pStyle w:val="P68B1DB1-Normln3"/>
        <w:numPr>
          <w:ilvl w:val="1"/>
          <w:numId w:val="4"/>
        </w:numPr>
        <w:spacing w:after="0" w:line="240" w:lineRule="auto"/>
        <w:jc w:val="both"/>
      </w:pPr>
      <w:r>
        <w:t>Service may be performed by remote administration or directly by the arrival of the Provider's employee at the place of performance. The services shall be linked to those parts of the IS specified in Annex 1 to this contract.</w:t>
      </w:r>
    </w:p>
    <w:p w14:paraId="0000002C" w14:textId="7FD7B4E4" w:rsidR="003F1A6D" w:rsidRDefault="00DB5D40">
      <w:pPr>
        <w:pStyle w:val="P68B1DB1-Normln3"/>
        <w:numPr>
          <w:ilvl w:val="1"/>
          <w:numId w:val="4"/>
        </w:numPr>
        <w:spacing w:after="0" w:line="240" w:lineRule="auto"/>
        <w:jc w:val="both"/>
      </w:pPr>
      <w:r>
        <w:t>Within the scope of providing services in the category of incident handling, the Provider is obliged to resolve IS-related incidents (hereinafter referred to as “</w:t>
      </w:r>
      <w:r w:rsidR="00C62551">
        <w:rPr>
          <w:b/>
          <w:bCs/>
        </w:rPr>
        <w:t>i</w:t>
      </w:r>
      <w:r w:rsidRPr="00C62551">
        <w:rPr>
          <w:b/>
          <w:bCs/>
        </w:rPr>
        <w:t>ncidents</w:t>
      </w:r>
      <w:r>
        <w:t>”)</w:t>
      </w:r>
      <w:r w:rsidR="00C62551">
        <w:t xml:space="preserve"> </w:t>
      </w:r>
      <w:r>
        <w:t xml:space="preserve">and in the category of technical support and development, the Provider is obliged to implement the </w:t>
      </w:r>
      <w:r w:rsidR="00C62551">
        <w:t>Costumer</w:t>
      </w:r>
      <w:r>
        <w:t>’s IS-related requirements (hereinafter referred to as “</w:t>
      </w:r>
      <w:r w:rsidR="00C62551">
        <w:rPr>
          <w:b/>
          <w:bCs/>
        </w:rPr>
        <w:t>r</w:t>
      </w:r>
      <w:r w:rsidRPr="00DF44BF">
        <w:rPr>
          <w:b/>
          <w:bCs/>
        </w:rPr>
        <w:t>equirements</w:t>
      </w:r>
      <w:r>
        <w:t>”</w:t>
      </w:r>
      <w:r w:rsidR="00DF44BF">
        <w:t xml:space="preserve"> </w:t>
      </w:r>
      <w:r>
        <w:t>or “</w:t>
      </w:r>
      <w:r w:rsidRPr="00DF44BF">
        <w:rPr>
          <w:b/>
          <w:bCs/>
        </w:rPr>
        <w:t>REQ</w:t>
      </w:r>
      <w:r>
        <w:t>”)</w:t>
      </w:r>
      <w:r w:rsidR="00DF44BF">
        <w:t xml:space="preserve"> </w:t>
      </w:r>
      <w:r>
        <w:t xml:space="preserve">under the conditions agreed in this </w:t>
      </w:r>
      <w:r w:rsidR="00C62551">
        <w:t>Contract</w:t>
      </w:r>
      <w:r>
        <w:t xml:space="preserve"> and its Annex No 1. </w:t>
      </w:r>
    </w:p>
    <w:p w14:paraId="0000002D" w14:textId="323AA8D8" w:rsidR="003F1A6D" w:rsidRDefault="00DB5D40">
      <w:pPr>
        <w:pStyle w:val="P68B1DB1-Normln3"/>
        <w:numPr>
          <w:ilvl w:val="1"/>
          <w:numId w:val="4"/>
        </w:numPr>
        <w:spacing w:after="0" w:line="240" w:lineRule="auto"/>
        <w:jc w:val="both"/>
      </w:pPr>
      <w:r>
        <w:t xml:space="preserve">The Provider is obliged to provide assistance in the configuration and control of settings after data recovery from IS backups carried out by the </w:t>
      </w:r>
      <w:r w:rsidR="00C62551">
        <w:t>Costumer</w:t>
      </w:r>
      <w:r>
        <w:t xml:space="preserve"> during the entire period of validity of this </w:t>
      </w:r>
      <w:r w:rsidR="00C62551">
        <w:t>Contract</w:t>
      </w:r>
      <w:r>
        <w:t xml:space="preserve"> in case of IS failure. After recovering data from backups in case of non-functional IS, the </w:t>
      </w:r>
      <w:r w:rsidR="00C62551">
        <w:t>Costumer</w:t>
      </w:r>
      <w:r>
        <w:t xml:space="preserve"> will initiate a request to resolve a type A incident pursuant to Annex 1 to the Contract.</w:t>
      </w:r>
    </w:p>
    <w:p w14:paraId="0000002E" w14:textId="77777777" w:rsidR="003F1A6D" w:rsidRDefault="00DB5D40">
      <w:pPr>
        <w:pStyle w:val="P68B1DB1-Normln3"/>
        <w:numPr>
          <w:ilvl w:val="1"/>
          <w:numId w:val="4"/>
        </w:numPr>
        <w:spacing w:after="0" w:line="240" w:lineRule="auto"/>
        <w:jc w:val="both"/>
      </w:pPr>
      <w:r>
        <w:t xml:space="preserve">The Provider is obliged to maintain the service readiness in the mode of the required level of service so that the Provider will have the necessary </w:t>
      </w:r>
      <w:proofErr w:type="gramStart"/>
      <w:r>
        <w:t>amount</w:t>
      </w:r>
      <w:proofErr w:type="gramEnd"/>
      <w:r>
        <w:t xml:space="preserve"> of staff with the appropriate qualifications to be able to guarantee the time limits set out in Annex 1 to this contract.</w:t>
      </w:r>
    </w:p>
    <w:p w14:paraId="0000002F" w14:textId="53411C08" w:rsidR="003F1A6D" w:rsidRDefault="00DB5D40">
      <w:pPr>
        <w:pStyle w:val="P68B1DB1-Normln3"/>
        <w:numPr>
          <w:ilvl w:val="1"/>
          <w:numId w:val="4"/>
        </w:numPr>
        <w:spacing w:after="0" w:line="240" w:lineRule="auto"/>
        <w:jc w:val="both"/>
      </w:pPr>
      <w:r>
        <w:t>The provider is obliged to observe the reaction time (‘</w:t>
      </w:r>
      <w:r w:rsidRPr="00DF44BF">
        <w:rPr>
          <w:b/>
          <w:bCs/>
        </w:rPr>
        <w:t>reaction</w:t>
      </w:r>
      <w:r w:rsidR="00C62551">
        <w:rPr>
          <w:b/>
          <w:bCs/>
        </w:rPr>
        <w:t xml:space="preserve"> </w:t>
      </w:r>
      <w:r w:rsidRPr="00DF44BF">
        <w:rPr>
          <w:b/>
          <w:bCs/>
          <w:iCs/>
        </w:rPr>
        <w:t>time’</w:t>
      </w:r>
      <w:r>
        <w:rPr>
          <w:b/>
          <w:i/>
        </w:rPr>
        <w:t>)</w:t>
      </w:r>
      <w:r w:rsidR="00C62551">
        <w:rPr>
          <w:b/>
          <w:i/>
        </w:rPr>
        <w:t xml:space="preserve"> </w:t>
      </w:r>
      <w:r>
        <w:t>and the resolution time of the incident or request (‘</w:t>
      </w:r>
      <w:r w:rsidRPr="00DF44BF">
        <w:rPr>
          <w:b/>
          <w:bCs/>
        </w:rPr>
        <w:t>resolution</w:t>
      </w:r>
      <w:r w:rsidR="00C62551">
        <w:rPr>
          <w:b/>
          <w:i/>
        </w:rPr>
        <w:t xml:space="preserve"> </w:t>
      </w:r>
      <w:r w:rsidRPr="00DF44BF">
        <w:rPr>
          <w:b/>
          <w:iCs/>
        </w:rPr>
        <w:t>time</w:t>
      </w:r>
      <w:proofErr w:type="gramStart"/>
      <w:r w:rsidRPr="00DF44BF">
        <w:rPr>
          <w:b/>
          <w:iCs/>
        </w:rPr>
        <w:t>’</w:t>
      </w:r>
      <w:r>
        <w:rPr>
          <w:b/>
          <w:i/>
        </w:rPr>
        <w:t>)</w:t>
      </w:r>
      <w:r>
        <w:t>when</w:t>
      </w:r>
      <w:proofErr w:type="gramEnd"/>
      <w:r>
        <w:t xml:space="preserve"> providing the service. The specification of the reaction time and resolution time is set out in Annex 1 to this contract. The implementation period, i.e. the resolution of the request in the category “technical support and development”, i.e. REQ, will be agreed in writing between the </w:t>
      </w:r>
      <w:r w:rsidR="00C62551">
        <w:t>Costumer</w:t>
      </w:r>
      <w:r>
        <w:t xml:space="preserve"> and the Provider immediately after the expiry of the reaction period and this period will subsequently become binding on the Provider. Depending on the type of REQ requirement, in particular in the case of a development requirement (modification of functionalities), the Provider shall prepare for the purposes of the written </w:t>
      </w:r>
      <w:r w:rsidR="00C62551">
        <w:t>Contract</w:t>
      </w:r>
      <w:r>
        <w:t xml:space="preserve"> referred to in the previous sentence “Analysis of the implementation of the requirement” with a detailed technical description of the solution and calculation of the price derived from the relevant number of service hours (REQ) under this contract necessary to resolve the REQ requirement. The Provider shall submit a written Analysis of the implementation of the request to the </w:t>
      </w:r>
      <w:r w:rsidR="00C62551">
        <w:t>Costumer</w:t>
      </w:r>
      <w:r>
        <w:t xml:space="preserve"> without undue delay after the expiry of the reaction time, no later than within 30 calendar days.</w:t>
      </w:r>
    </w:p>
    <w:p w14:paraId="00000030" w14:textId="2A1A9992" w:rsidR="003F1A6D" w:rsidRDefault="00DB5D40">
      <w:pPr>
        <w:pStyle w:val="P68B1DB1-Normln3"/>
        <w:numPr>
          <w:ilvl w:val="1"/>
          <w:numId w:val="4"/>
        </w:numPr>
        <w:spacing w:after="0" w:line="240" w:lineRule="auto"/>
        <w:jc w:val="both"/>
      </w:pPr>
      <w:r>
        <w:t xml:space="preserve">The categorization of incidents, reaction times for individual categories of incidents and resolution times for individual categories of incidents and reaction times and resolution times are set out in Annex 1 to this </w:t>
      </w:r>
      <w:r w:rsidR="00C62551">
        <w:t>Contract</w:t>
      </w:r>
      <w:r>
        <w:t xml:space="preserve"> and are binding on the Provider.</w:t>
      </w:r>
    </w:p>
    <w:p w14:paraId="00000031" w14:textId="114384B2" w:rsidR="003F1A6D" w:rsidRDefault="00DB5D40">
      <w:pPr>
        <w:pStyle w:val="P68B1DB1-Normln3"/>
        <w:numPr>
          <w:ilvl w:val="1"/>
          <w:numId w:val="4"/>
        </w:numPr>
        <w:spacing w:after="0" w:line="240" w:lineRule="auto"/>
        <w:jc w:val="both"/>
      </w:pPr>
      <w:r>
        <w:t xml:space="preserve">The </w:t>
      </w:r>
      <w:r w:rsidR="00C62551">
        <w:t>Costumer</w:t>
      </w:r>
      <w:r>
        <w:t xml:space="preserve"> shall report the incident or request to the Provider via the Provider’s information system, which is accessible to the </w:t>
      </w:r>
      <w:r w:rsidR="00C62551">
        <w:t>Costumer</w:t>
      </w:r>
      <w:r>
        <w:t xml:space="preserve"> non-stop (‘the</w:t>
      </w:r>
      <w:r w:rsidR="00DF44BF">
        <w:t xml:space="preserve"> </w:t>
      </w:r>
      <w:r>
        <w:rPr>
          <w:b/>
          <w:i/>
        </w:rPr>
        <w:t>Service Desk’).</w:t>
      </w:r>
      <w:r>
        <w:t xml:space="preserve"> </w:t>
      </w:r>
      <w:r>
        <w:lastRenderedPageBreak/>
        <w:t xml:space="preserve">The service desk is available on the website at: </w:t>
      </w:r>
      <w:r>
        <w:rPr>
          <w:b/>
        </w:rPr>
        <w:t>[to</w:t>
      </w:r>
      <w:r w:rsidR="00C62551">
        <w:rPr>
          <w:b/>
        </w:rPr>
        <w:t xml:space="preserve"> </w:t>
      </w:r>
      <w:r>
        <w:rPr>
          <w:b/>
          <w:highlight w:val="lightGray"/>
        </w:rPr>
        <w:t xml:space="preserve">be completed before </w:t>
      </w:r>
      <w:proofErr w:type="gramStart"/>
      <w:r>
        <w:rPr>
          <w:b/>
          <w:highlight w:val="lightGray"/>
        </w:rPr>
        <w:t>closure ]</w:t>
      </w:r>
      <w:proofErr w:type="gramEnd"/>
      <w:r>
        <w:rPr>
          <w:b/>
          <w:highlight w:val="lightGray"/>
        </w:rPr>
        <w:t>.</w:t>
      </w:r>
      <w:r>
        <w:t xml:space="preserve"> The </w:t>
      </w:r>
      <w:r w:rsidR="00C62551">
        <w:t>Costumer</w:t>
      </w:r>
      <w:r>
        <w:t xml:space="preserve"> shall specify the category of the incident and the level of service required in accordance with Annex 1 to this </w:t>
      </w:r>
      <w:r w:rsidR="00C62551">
        <w:t>Contract</w:t>
      </w:r>
      <w:r>
        <w:t xml:space="preserve">. In exceptional cases, incidents may be reported by telephone (so-called </w:t>
      </w:r>
      <w:r>
        <w:rPr>
          <w:b/>
          <w:i/>
        </w:rPr>
        <w:t>hotline</w:t>
      </w:r>
      <w:r>
        <w:t xml:space="preserve"> - availability according to the required level of service) to the telephone number </w:t>
      </w:r>
      <w:r>
        <w:rPr>
          <w:b/>
        </w:rPr>
        <w:t>[to</w:t>
      </w:r>
      <w:r w:rsidR="00C62551">
        <w:rPr>
          <w:b/>
        </w:rPr>
        <w:t xml:space="preserve"> </w:t>
      </w:r>
      <w:r>
        <w:rPr>
          <w:b/>
          <w:highlight w:val="lightGray"/>
        </w:rPr>
        <w:t xml:space="preserve">be completed before </w:t>
      </w:r>
      <w:proofErr w:type="gramStart"/>
      <w:r>
        <w:rPr>
          <w:b/>
          <w:highlight w:val="lightGray"/>
        </w:rPr>
        <w:t>closure ]</w:t>
      </w:r>
      <w:proofErr w:type="gramEnd"/>
      <w:r>
        <w:rPr>
          <w:b/>
          <w:highlight w:val="lightGray"/>
        </w:rPr>
        <w:t>,</w:t>
      </w:r>
      <w:r>
        <w:t xml:space="preserve"> which is subsequently registered by the Provider in the Service Desk.</w:t>
      </w:r>
    </w:p>
    <w:p w14:paraId="00000032" w14:textId="73D5F76B" w:rsidR="003F1A6D" w:rsidRDefault="00DB5D40">
      <w:pPr>
        <w:pStyle w:val="P68B1DB1-Normln3"/>
        <w:numPr>
          <w:ilvl w:val="1"/>
          <w:numId w:val="4"/>
        </w:numPr>
        <w:spacing w:after="0" w:line="240" w:lineRule="auto"/>
        <w:jc w:val="both"/>
      </w:pPr>
      <w:r>
        <w:t xml:space="preserve">The Provider has the right to request further specification of the incident or request from the </w:t>
      </w:r>
      <w:r w:rsidR="00C62551">
        <w:t>Costumer</w:t>
      </w:r>
      <w:r>
        <w:t xml:space="preserve"> based on the incident report or request. This activity is considered to be the commencement of the Provider's activity within the meaning of Annex 1 to this </w:t>
      </w:r>
      <w:r w:rsidR="00C62551">
        <w:t>Contract</w:t>
      </w:r>
      <w:r>
        <w:t xml:space="preserve">. The time for which the </w:t>
      </w:r>
      <w:r w:rsidR="00C62551">
        <w:t>Costumer</w:t>
      </w:r>
      <w:r>
        <w:t xml:space="preserve"> provides the requested cooperation to resolve the incident will not be counted towards the time of resolution of the incident.</w:t>
      </w:r>
    </w:p>
    <w:p w14:paraId="00000033" w14:textId="7BF09C6C" w:rsidR="003F1A6D" w:rsidRDefault="00DB5D40">
      <w:pPr>
        <w:pStyle w:val="P68B1DB1-Normln3"/>
        <w:numPr>
          <w:ilvl w:val="1"/>
          <w:numId w:val="4"/>
        </w:numPr>
        <w:spacing w:after="0" w:line="240" w:lineRule="auto"/>
        <w:jc w:val="both"/>
      </w:pPr>
      <w:r>
        <w:t xml:space="preserve">Upon termination of the incident resolution activity or realization of the </w:t>
      </w:r>
      <w:r w:rsidR="00C62551">
        <w:t>Costumer</w:t>
      </w:r>
      <w:r>
        <w:t xml:space="preserve">'s request, the Provider shall put the status of the incident or request in the Service desk in the status "Resolved" (or in a state of similar importance) and inform the </w:t>
      </w:r>
      <w:r w:rsidR="00C62551">
        <w:t>Costumer</w:t>
      </w:r>
      <w:r>
        <w:t xml:space="preserve"> via the Service desk. Reassignment of the incident to a lower category according to Annex 1 to this contract shall also be considered as a resolution of the incident. The Provider has the right to ask the </w:t>
      </w:r>
      <w:r w:rsidR="00C62551">
        <w:t>Costumer</w:t>
      </w:r>
      <w:r>
        <w:t xml:space="preserve"> to merge incidents or change the category of incident if the category of incident specified by the </w:t>
      </w:r>
      <w:r w:rsidR="00C62551">
        <w:t>Costumer</w:t>
      </w:r>
      <w:r>
        <w:t xml:space="preserve"> is in conflict with the definitions of categories set out in Annex 1. At the same time, this activity is considered as meeting the reaction time of the incident. The time to the Customer's response in the Service Desk to a request to merge incidents or change the category of incident is not counted towards the time of resolution of the incident. </w:t>
      </w:r>
    </w:p>
    <w:p w14:paraId="00000034" w14:textId="77777777" w:rsidR="003F1A6D" w:rsidRDefault="003F1A6D">
      <w:pPr>
        <w:spacing w:after="0" w:line="240" w:lineRule="auto"/>
        <w:ind w:left="360"/>
        <w:jc w:val="both"/>
        <w:rPr>
          <w:rFonts w:ascii="Arial" w:eastAsia="Arial" w:hAnsi="Arial" w:cs="Arial"/>
        </w:rPr>
      </w:pPr>
    </w:p>
    <w:p w14:paraId="00000035" w14:textId="59BCBEB6" w:rsidR="003F1A6D" w:rsidRDefault="00DB5D40">
      <w:pPr>
        <w:pStyle w:val="P68B1DB1-Normln3"/>
        <w:spacing w:after="0" w:line="240" w:lineRule="auto"/>
        <w:ind w:left="360"/>
        <w:jc w:val="both"/>
      </w:pPr>
      <w:r>
        <w:t xml:space="preserve">If the </w:t>
      </w:r>
      <w:r w:rsidR="00C62551">
        <w:t>Costumer</w:t>
      </w:r>
      <w:r>
        <w:t xml:space="preserve"> does not express its consent to the incident or request being resolved within the immediately following 3 working days from delivery in the Service Desk, or if the </w:t>
      </w:r>
      <w:r w:rsidR="00C62551">
        <w:t>Costumer</w:t>
      </w:r>
      <w:r>
        <w:t xml:space="preserve"> expresses its consent to the incident or request being resolved in the Service Desk within this period, the </w:t>
      </w:r>
      <w:r w:rsidR="00C62551">
        <w:t>Costumer</w:t>
      </w:r>
      <w:r>
        <w:t xml:space="preserve"> shall be deemed to have agreed to the incident or request being resolved and the Provider shall be entitled to have the incident or request placed in the Service Desk in the state ‘Closed’ (or in a state of similar importance). In the event that the </w:t>
      </w:r>
      <w:r w:rsidR="00C62551">
        <w:t>Costumer</w:t>
      </w:r>
      <w:r>
        <w:t xml:space="preserve"> informs the Provider in the Service Desk within the above-mentioned period of the immediately following 3 working days that he does not agree with the resolution of the incident or request, the Provider is obliged to continue with the resolution of the request or incident in its original category and is obliged to comply with the resolution period according to Annex 1 to this </w:t>
      </w:r>
      <w:r w:rsidR="00C62551">
        <w:t>Contract</w:t>
      </w:r>
      <w:r>
        <w:t xml:space="preserve">. The time from the moment of delivery of the information in the Service Desk to the </w:t>
      </w:r>
      <w:r w:rsidR="00C62551">
        <w:t>Costumer</w:t>
      </w:r>
      <w:r>
        <w:t xml:space="preserve"> about the resolution of the incident or request to the moment of delivery of the information in the Service Desk containing information about the </w:t>
      </w:r>
      <w:r w:rsidR="00C62551">
        <w:t>Costumer</w:t>
      </w:r>
      <w:r>
        <w:t>'s consent or dis</w:t>
      </w:r>
      <w:r w:rsidR="000A70AB">
        <w:t>-c</w:t>
      </w:r>
      <w:r w:rsidR="00C62551">
        <w:t>on</w:t>
      </w:r>
      <w:r w:rsidR="000A70AB">
        <w:t>sent</w:t>
      </w:r>
      <w:r>
        <w:t xml:space="preserve"> with the resolution of the incident or request to the Provider is not counted until the time of resolution according to Annex 1 to this </w:t>
      </w:r>
      <w:r w:rsidR="00C62551">
        <w:t>Contract</w:t>
      </w:r>
      <w:r>
        <w:t xml:space="preserve">. </w:t>
      </w:r>
    </w:p>
    <w:p w14:paraId="00000036" w14:textId="77777777" w:rsidR="003F1A6D" w:rsidRDefault="00DB5D40">
      <w:pPr>
        <w:pStyle w:val="P68B1DB1-Normln3"/>
        <w:numPr>
          <w:ilvl w:val="1"/>
          <w:numId w:val="4"/>
        </w:numPr>
        <w:spacing w:after="0" w:line="240" w:lineRule="auto"/>
        <w:jc w:val="both"/>
      </w:pPr>
      <w:r>
        <w:t>As a resolution of the incident, it is possible to accept a temporary correction of the IS or its part, or the recovery of the IS data from the backup, if the Customer agrees to this in the Service Desk in accordance with the procedure set out in Article 2.9 of the Contract.</w:t>
      </w:r>
    </w:p>
    <w:p w14:paraId="00000037" w14:textId="77777777" w:rsidR="003F1A6D" w:rsidRDefault="003F1A6D">
      <w:pPr>
        <w:spacing w:after="0" w:line="240" w:lineRule="auto"/>
        <w:ind w:left="709"/>
        <w:jc w:val="both"/>
        <w:rPr>
          <w:rFonts w:ascii="Arial" w:eastAsia="Arial" w:hAnsi="Arial" w:cs="Arial"/>
        </w:rPr>
      </w:pPr>
    </w:p>
    <w:p w14:paraId="00000038" w14:textId="38ED3518" w:rsidR="003F1A6D" w:rsidRDefault="00DB5D40">
      <w:pPr>
        <w:pStyle w:val="P68B1DB1-Normln2"/>
        <w:numPr>
          <w:ilvl w:val="0"/>
          <w:numId w:val="7"/>
        </w:numPr>
        <w:spacing w:after="0" w:line="240" w:lineRule="auto"/>
        <w:ind w:hanging="720"/>
        <w:jc w:val="both"/>
        <w:rPr>
          <w:bCs/>
        </w:rPr>
      </w:pPr>
      <w:r>
        <w:t xml:space="preserve">Cooperation between the </w:t>
      </w:r>
      <w:r w:rsidR="00C40B92">
        <w:t>Parties</w:t>
      </w:r>
    </w:p>
    <w:p w14:paraId="00000039" w14:textId="7F1A9F8C" w:rsidR="003F1A6D" w:rsidRDefault="00DB5D40">
      <w:pPr>
        <w:pStyle w:val="P68B1DB1-Normln3"/>
        <w:numPr>
          <w:ilvl w:val="1"/>
          <w:numId w:val="1"/>
        </w:numPr>
        <w:spacing w:after="0" w:line="240" w:lineRule="auto"/>
        <w:ind w:left="426" w:hanging="426"/>
        <w:jc w:val="both"/>
        <w:rPr>
          <w:b/>
          <w:bCs/>
          <w:i/>
          <w:iCs/>
        </w:rPr>
      </w:pPr>
      <w:r>
        <w:t xml:space="preserve">The </w:t>
      </w:r>
      <w:r w:rsidR="00C40B92">
        <w:t>Parties</w:t>
      </w:r>
      <w:r>
        <w:t xml:space="preserve"> are aware that only their mutual cooperation, proper and full performance of their contractual obligations will allow the proper and timely provision of services under this contract. </w:t>
      </w:r>
    </w:p>
    <w:p w14:paraId="0000003A" w14:textId="179CAA6C" w:rsidR="003F1A6D" w:rsidRDefault="00DB5D40">
      <w:pPr>
        <w:pStyle w:val="P68B1DB1-Normln3"/>
        <w:numPr>
          <w:ilvl w:val="1"/>
          <w:numId w:val="1"/>
        </w:numPr>
        <w:spacing w:after="0" w:line="240" w:lineRule="auto"/>
        <w:ind w:left="426" w:hanging="426"/>
        <w:jc w:val="both"/>
        <w:rPr>
          <w:b/>
          <w:bCs/>
          <w:i/>
          <w:iCs/>
        </w:rPr>
      </w:pPr>
      <w:r>
        <w:t xml:space="preserve">For the purpose of normal contact between the Contracting </w:t>
      </w:r>
      <w:r w:rsidR="00C40B92">
        <w:t>Parties</w:t>
      </w:r>
      <w:r>
        <w:t xml:space="preserve"> in the provision of services, the Contracting </w:t>
      </w:r>
      <w:r w:rsidR="00C40B92">
        <w:t>Parties</w:t>
      </w:r>
      <w:r>
        <w:t xml:space="preserve"> have appointed their contact persons. </w:t>
      </w:r>
    </w:p>
    <w:p w14:paraId="0000003B" w14:textId="77777777" w:rsidR="003F1A6D" w:rsidRDefault="00DB5D40">
      <w:pPr>
        <w:pStyle w:val="P68B1DB1-Normln3"/>
        <w:spacing w:after="0" w:line="240" w:lineRule="auto"/>
        <w:ind w:left="709" w:hanging="283"/>
        <w:jc w:val="both"/>
      </w:pPr>
      <w:r>
        <w:t>The Provider's contact persons are:</w:t>
      </w:r>
    </w:p>
    <w:p w14:paraId="0000003C" w14:textId="7042AF1F" w:rsidR="003F1A6D" w:rsidRDefault="00DB5D40">
      <w:pPr>
        <w:pStyle w:val="P68B1DB1-Normln3"/>
        <w:numPr>
          <w:ilvl w:val="2"/>
          <w:numId w:val="7"/>
        </w:numPr>
        <w:spacing w:after="0" w:line="240" w:lineRule="auto"/>
        <w:ind w:left="709" w:hanging="283"/>
        <w:jc w:val="both"/>
        <w:rPr>
          <w:b/>
          <w:bCs/>
          <w:i/>
          <w:iCs/>
        </w:rPr>
      </w:pPr>
      <w:r>
        <w:t>[</w:t>
      </w:r>
      <w:r>
        <w:rPr>
          <w:highlight w:val="lightGray"/>
        </w:rPr>
        <w:t xml:space="preserve">to be completed before </w:t>
      </w:r>
      <w:proofErr w:type="gramStart"/>
      <w:r w:rsidR="00C40B92">
        <w:rPr>
          <w:highlight w:val="lightGray"/>
        </w:rPr>
        <w:t xml:space="preserve">sign </w:t>
      </w:r>
      <w:r>
        <w:rPr>
          <w:highlight w:val="lightGray"/>
        </w:rPr>
        <w:t>]</w:t>
      </w:r>
      <w:proofErr w:type="gramEnd"/>
    </w:p>
    <w:p w14:paraId="0000003D" w14:textId="77777777" w:rsidR="003F1A6D" w:rsidRDefault="00DB5D40">
      <w:pPr>
        <w:pStyle w:val="P68B1DB1-Normln3"/>
        <w:spacing w:after="0" w:line="240" w:lineRule="auto"/>
        <w:ind w:left="709" w:hanging="283"/>
        <w:jc w:val="both"/>
      </w:pPr>
      <w:r>
        <w:t>The Customer's contact person is:</w:t>
      </w:r>
    </w:p>
    <w:p w14:paraId="0000003E" w14:textId="494539D0" w:rsidR="003F1A6D" w:rsidRDefault="00DB5D40">
      <w:pPr>
        <w:pStyle w:val="P68B1DB1-Normln3"/>
        <w:numPr>
          <w:ilvl w:val="2"/>
          <w:numId w:val="7"/>
        </w:numPr>
        <w:spacing w:after="0" w:line="240" w:lineRule="auto"/>
        <w:ind w:left="709" w:hanging="283"/>
        <w:jc w:val="both"/>
        <w:rPr>
          <w:b/>
          <w:bCs/>
          <w:i/>
          <w:iCs/>
        </w:rPr>
      </w:pPr>
      <w:r>
        <w:t>[</w:t>
      </w:r>
      <w:r>
        <w:rPr>
          <w:highlight w:val="lightGray"/>
        </w:rPr>
        <w:t xml:space="preserve">to be completed before </w:t>
      </w:r>
      <w:proofErr w:type="gramStart"/>
      <w:r w:rsidR="00C40B92">
        <w:rPr>
          <w:highlight w:val="lightGray"/>
        </w:rPr>
        <w:t xml:space="preserve">sign </w:t>
      </w:r>
      <w:r>
        <w:rPr>
          <w:highlight w:val="lightGray"/>
        </w:rPr>
        <w:t>]</w:t>
      </w:r>
      <w:proofErr w:type="gramEnd"/>
    </w:p>
    <w:p w14:paraId="0000003F" w14:textId="7FC7BCA5" w:rsidR="003F1A6D" w:rsidRDefault="00DB5D40">
      <w:pPr>
        <w:pStyle w:val="P68B1DB1-Normln3"/>
        <w:numPr>
          <w:ilvl w:val="1"/>
          <w:numId w:val="1"/>
        </w:numPr>
        <w:spacing w:after="0" w:line="240" w:lineRule="auto"/>
        <w:ind w:left="426" w:hanging="426"/>
        <w:jc w:val="both"/>
      </w:pPr>
      <w:r>
        <w:lastRenderedPageBreak/>
        <w:t xml:space="preserve">The Contracting </w:t>
      </w:r>
      <w:r w:rsidR="00C40B92">
        <w:t>Parties</w:t>
      </w:r>
      <w:r>
        <w:t xml:space="preserve"> undertake to communicate in cooperation with each other, on the basis of this </w:t>
      </w:r>
      <w:r w:rsidR="00C62551">
        <w:t>Contract</w:t>
      </w:r>
      <w:r>
        <w:t xml:space="preserve">, in particular through their contact persons referred to in paragraph 3.2 of this </w:t>
      </w:r>
      <w:r w:rsidR="00C62551">
        <w:t>Contract</w:t>
      </w:r>
      <w:r>
        <w:t xml:space="preserve">. Each Contracting Party shall inform the other Contracting Party in writing of the change of contact person on its side by written notification. The change of contact person shall take effect on the date of delivery of the written notification of the relevant Contracting Party to the other Contracting Party. </w:t>
      </w:r>
    </w:p>
    <w:p w14:paraId="00000040" w14:textId="77777777" w:rsidR="003F1A6D" w:rsidRDefault="003F1A6D">
      <w:pPr>
        <w:spacing w:after="0" w:line="240" w:lineRule="auto"/>
        <w:ind w:left="1440"/>
        <w:jc w:val="both"/>
        <w:rPr>
          <w:rFonts w:ascii="Arial" w:eastAsia="Arial" w:hAnsi="Arial" w:cs="Arial"/>
        </w:rPr>
      </w:pPr>
    </w:p>
    <w:p w14:paraId="00000041" w14:textId="77777777" w:rsidR="003F1A6D" w:rsidRDefault="00DB5D40">
      <w:pPr>
        <w:pStyle w:val="P68B1DB1-Normln2"/>
        <w:numPr>
          <w:ilvl w:val="0"/>
          <w:numId w:val="7"/>
        </w:numPr>
        <w:spacing w:after="0" w:line="240" w:lineRule="auto"/>
        <w:ind w:hanging="720"/>
        <w:jc w:val="both"/>
        <w:rPr>
          <w:bCs/>
        </w:rPr>
      </w:pPr>
      <w:r>
        <w:t>Other conditions for performance of the subject-matter of the contract</w:t>
      </w:r>
    </w:p>
    <w:p w14:paraId="00000042" w14:textId="16E16E8A" w:rsidR="003F1A6D" w:rsidRDefault="00DB5D40">
      <w:pPr>
        <w:pStyle w:val="P68B1DB1-Normln3"/>
        <w:numPr>
          <w:ilvl w:val="1"/>
          <w:numId w:val="15"/>
        </w:numPr>
        <w:spacing w:after="0" w:line="240" w:lineRule="auto"/>
        <w:ind w:left="426"/>
        <w:jc w:val="both"/>
        <w:rPr>
          <w:b/>
          <w:bCs/>
          <w:i/>
          <w:iCs/>
        </w:rPr>
      </w:pPr>
      <w:r>
        <w:t xml:space="preserve">The Provider is responsible for the quality, general and professional correctness of the provided services. The Provider is obliged to act with professional care to the best of its knowledge and ability when providing services under this </w:t>
      </w:r>
      <w:r w:rsidR="00C62551">
        <w:t>Contract</w:t>
      </w:r>
      <w:r>
        <w:t xml:space="preserve">, and is obliged to protect the interests and reputation of the </w:t>
      </w:r>
      <w:r w:rsidR="00C62551">
        <w:t>Costumer</w:t>
      </w:r>
      <w:r>
        <w:t xml:space="preserve"> during its activities.</w:t>
      </w:r>
    </w:p>
    <w:p w14:paraId="00000043" w14:textId="664F3A42" w:rsidR="003F1A6D" w:rsidRDefault="00DB5D40">
      <w:pPr>
        <w:pStyle w:val="P68B1DB1-Normln3"/>
        <w:numPr>
          <w:ilvl w:val="1"/>
          <w:numId w:val="15"/>
        </w:numPr>
        <w:spacing w:after="0" w:line="240" w:lineRule="auto"/>
        <w:ind w:left="426" w:hanging="426"/>
        <w:jc w:val="both"/>
        <w:rPr>
          <w:b/>
          <w:bCs/>
          <w:i/>
          <w:iCs/>
        </w:rPr>
      </w:pPr>
      <w:r>
        <w:t xml:space="preserve">The Provider is obliged to ensure proper and timely provision of services under this </w:t>
      </w:r>
      <w:r w:rsidR="00C62551">
        <w:t>Contract</w:t>
      </w:r>
      <w:r>
        <w:t xml:space="preserve"> so that the </w:t>
      </w:r>
      <w:r w:rsidR="00C62551">
        <w:t>Costumer</w:t>
      </w:r>
      <w:r>
        <w:t xml:space="preserve"> can properly use the IS.</w:t>
      </w:r>
    </w:p>
    <w:p w14:paraId="00000044" w14:textId="77777777" w:rsidR="003F1A6D" w:rsidRDefault="00DB5D40">
      <w:pPr>
        <w:pStyle w:val="P68B1DB1-Normln3"/>
        <w:numPr>
          <w:ilvl w:val="1"/>
          <w:numId w:val="15"/>
        </w:numPr>
        <w:spacing w:after="0" w:line="240" w:lineRule="auto"/>
        <w:ind w:left="426" w:hanging="426"/>
        <w:jc w:val="both"/>
      </w:pPr>
      <w:r>
        <w:t>The Provider is obliged to act in accordance with the applicable legal regulations when providing services.</w:t>
      </w:r>
    </w:p>
    <w:p w14:paraId="00000045" w14:textId="3E92C0C3" w:rsidR="003F1A6D" w:rsidRDefault="00DB5D40">
      <w:pPr>
        <w:numPr>
          <w:ilvl w:val="1"/>
          <w:numId w:val="15"/>
        </w:numPr>
        <w:spacing w:after="0" w:line="240" w:lineRule="auto"/>
        <w:ind w:left="426" w:hanging="426"/>
        <w:jc w:val="both"/>
        <w:rPr>
          <w:rFonts w:ascii="Arial" w:eastAsia="Arial" w:hAnsi="Arial" w:cs="Arial"/>
        </w:rPr>
      </w:pPr>
      <w:r>
        <w:rPr>
          <w:rFonts w:ascii="Arial" w:eastAsia="Arial" w:hAnsi="Arial" w:cs="Arial"/>
        </w:rPr>
        <w:t>The Provider is entitled to ensure the performance of parts of the service to the sub</w:t>
      </w:r>
      <w:r w:rsidR="00C40B92">
        <w:rPr>
          <w:rFonts w:ascii="Arial" w:eastAsia="Arial" w:hAnsi="Arial" w:cs="Arial"/>
        </w:rPr>
        <w:t>-p</w:t>
      </w:r>
      <w:r w:rsidR="00C62551">
        <w:rPr>
          <w:rFonts w:ascii="Arial" w:eastAsia="Arial" w:hAnsi="Arial" w:cs="Arial"/>
        </w:rPr>
        <w:t>rovider</w:t>
      </w:r>
      <w:r>
        <w:rPr>
          <w:rFonts w:ascii="Arial" w:eastAsia="Arial" w:hAnsi="Arial" w:cs="Arial"/>
        </w:rPr>
        <w:t xml:space="preserve">. At the </w:t>
      </w:r>
      <w:r w:rsidR="00C62551">
        <w:rPr>
          <w:rFonts w:ascii="Arial" w:eastAsia="Arial" w:hAnsi="Arial" w:cs="Arial"/>
        </w:rPr>
        <w:t>Costumer</w:t>
      </w:r>
      <w:r>
        <w:rPr>
          <w:rFonts w:ascii="Arial" w:eastAsia="Arial" w:hAnsi="Arial" w:cs="Arial"/>
        </w:rPr>
        <w:t xml:space="preserve">'s request, the Provider is obliged to communicate the identification data of the </w:t>
      </w:r>
      <w:r w:rsidR="00C40B92">
        <w:rPr>
          <w:rFonts w:ascii="Arial" w:eastAsia="Arial" w:hAnsi="Arial" w:cs="Arial"/>
        </w:rPr>
        <w:t>sub-provider</w:t>
      </w:r>
      <w:r w:rsidR="00C40B92" w:rsidDel="00C40B92">
        <w:rPr>
          <w:rFonts w:ascii="Arial" w:eastAsia="Arial" w:hAnsi="Arial" w:cs="Arial"/>
        </w:rPr>
        <w:t xml:space="preserve"> </w:t>
      </w:r>
      <w:r>
        <w:rPr>
          <w:rFonts w:ascii="Arial" w:eastAsia="Arial" w:hAnsi="Arial" w:cs="Arial"/>
        </w:rPr>
        <w:t xml:space="preserve">according to the previous sentence. The list of </w:t>
      </w:r>
      <w:r w:rsidR="00C40B92">
        <w:rPr>
          <w:rFonts w:ascii="Arial" w:eastAsia="Arial" w:hAnsi="Arial" w:cs="Arial"/>
        </w:rPr>
        <w:t>sub-provider</w:t>
      </w:r>
      <w:r w:rsidR="00C40B92" w:rsidDel="00C40B92">
        <w:rPr>
          <w:rFonts w:ascii="Arial" w:eastAsia="Arial" w:hAnsi="Arial" w:cs="Arial"/>
        </w:rPr>
        <w:t xml:space="preserve"> </w:t>
      </w:r>
      <w:r>
        <w:rPr>
          <w:rFonts w:ascii="Arial" w:eastAsia="Arial" w:hAnsi="Arial" w:cs="Arial"/>
        </w:rPr>
        <w:t>with the designation by which the Provider has demonstrated part of the qualification in the procurement procedure is annexed to this contract and</w:t>
      </w:r>
      <w:r>
        <w:t> </w:t>
      </w:r>
      <w:r>
        <w:rPr>
          <w:rFonts w:ascii="Arial" w:eastAsia="Arial" w:hAnsi="Arial" w:cs="Arial"/>
        </w:rPr>
        <w:t xml:space="preserve">can be changed only with the consent of the </w:t>
      </w:r>
      <w:r w:rsidR="00C62551">
        <w:rPr>
          <w:rFonts w:ascii="Arial" w:eastAsia="Arial" w:hAnsi="Arial" w:cs="Arial"/>
        </w:rPr>
        <w:t>Costumer</w:t>
      </w:r>
      <w:r>
        <w:rPr>
          <w:rFonts w:ascii="Arial" w:eastAsia="Arial" w:hAnsi="Arial" w:cs="Arial"/>
        </w:rPr>
        <w:t xml:space="preserve">, while the Provider is obliged to prove fulfilment of the qualification requirements to the appropriate extent also with the person of the new </w:t>
      </w:r>
      <w:r w:rsidR="00C40B92">
        <w:rPr>
          <w:rFonts w:ascii="Arial" w:eastAsia="Arial" w:hAnsi="Arial" w:cs="Arial"/>
        </w:rPr>
        <w:t>sub-provider</w:t>
      </w:r>
      <w:r w:rsidR="00C40B92" w:rsidDel="00C40B92">
        <w:rPr>
          <w:rFonts w:ascii="Arial" w:eastAsia="Arial" w:hAnsi="Arial" w:cs="Arial"/>
        </w:rPr>
        <w:t xml:space="preserve"> </w:t>
      </w:r>
      <w:r>
        <w:rPr>
          <w:rFonts w:ascii="Arial" w:eastAsia="Arial" w:hAnsi="Arial" w:cs="Arial"/>
        </w:rPr>
        <w:t xml:space="preserve">before making a change to the </w:t>
      </w:r>
      <w:r w:rsidR="00C40B92">
        <w:rPr>
          <w:rFonts w:ascii="Arial" w:eastAsia="Arial" w:hAnsi="Arial" w:cs="Arial"/>
        </w:rPr>
        <w:t>sub-provider</w:t>
      </w:r>
      <w:r w:rsidR="00C40B92" w:rsidDel="00C40B92">
        <w:rPr>
          <w:rFonts w:ascii="Arial" w:eastAsia="Arial" w:hAnsi="Arial" w:cs="Arial"/>
        </w:rPr>
        <w:t xml:space="preserve"> </w:t>
      </w:r>
      <w:r>
        <w:rPr>
          <w:rFonts w:ascii="Arial" w:eastAsia="Arial" w:hAnsi="Arial" w:cs="Arial"/>
        </w:rPr>
        <w:t>to which part of the qualification has been proven.</w:t>
      </w:r>
    </w:p>
    <w:p w14:paraId="00000046" w14:textId="39F0D736" w:rsidR="003F1A6D" w:rsidRDefault="00DB5D40">
      <w:pPr>
        <w:numPr>
          <w:ilvl w:val="1"/>
          <w:numId w:val="15"/>
        </w:numPr>
        <w:spacing w:after="0" w:line="240" w:lineRule="auto"/>
        <w:ind w:left="426" w:hanging="426"/>
        <w:jc w:val="both"/>
        <w:rPr>
          <w:rFonts w:ascii="Arial" w:eastAsia="Arial" w:hAnsi="Arial" w:cs="Arial"/>
        </w:rPr>
      </w:pPr>
      <w:r>
        <w:rPr>
          <w:rFonts w:ascii="Arial" w:eastAsia="Arial" w:hAnsi="Arial" w:cs="Arial"/>
        </w:rPr>
        <w:t xml:space="preserve">The Provider is obliged to comply with the applicable legislation concerning information security. The Provider is obliged to follow </w:t>
      </w:r>
      <w:sdt>
        <w:sdtPr>
          <w:rPr>
            <w:rFonts w:ascii="Arial" w:eastAsia="Arial" w:hAnsi="Arial" w:cs="Arial"/>
          </w:rPr>
          <w:tag w:val="goog_rdk_18"/>
          <w:id w:val="-234764679"/>
        </w:sdtPr>
        <w:sdtEndPr/>
        <w:sdtContent/>
      </w:sdt>
      <w:sdt>
        <w:sdtPr>
          <w:rPr>
            <w:rFonts w:ascii="Arial" w:eastAsia="Arial" w:hAnsi="Arial" w:cs="Arial"/>
          </w:rPr>
          <w:tag w:val="goog_rdk_19"/>
          <w:id w:val="620351265"/>
        </w:sdtPr>
        <w:sdtEndPr/>
        <w:sdtContent/>
      </w:sdt>
      <w:r>
        <w:rPr>
          <w:rFonts w:ascii="Arial" w:eastAsia="Arial" w:hAnsi="Arial" w:cs="Arial"/>
        </w:rPr>
        <w:t xml:space="preserve">the processes according to the ISO 27001 family of standards, documentation, change-management in the level of </w:t>
      </w:r>
      <w:proofErr w:type="spellStart"/>
      <w:r>
        <w:rPr>
          <w:rFonts w:ascii="Arial" w:eastAsia="Arial" w:hAnsi="Arial" w:cs="Arial"/>
        </w:rPr>
        <w:t>ZkB</w:t>
      </w:r>
      <w:proofErr w:type="spellEnd"/>
      <w:r>
        <w:rPr>
          <w:rFonts w:ascii="Arial" w:eastAsia="Arial" w:hAnsi="Arial" w:cs="Arial"/>
        </w:rPr>
        <w:t xml:space="preserve"> requirements for CII (or high level of safety according to NIS2).</w:t>
      </w:r>
    </w:p>
    <w:p w14:paraId="00000047" w14:textId="2F1F259C" w:rsidR="003F1A6D" w:rsidRDefault="00DB5D40">
      <w:pPr>
        <w:pStyle w:val="P68B1DB1-Normln3"/>
        <w:numPr>
          <w:ilvl w:val="1"/>
          <w:numId w:val="15"/>
        </w:numPr>
        <w:spacing w:after="0" w:line="240" w:lineRule="auto"/>
        <w:ind w:left="426" w:hanging="426"/>
        <w:jc w:val="both"/>
      </w:pPr>
      <w:r>
        <w:t xml:space="preserve">The Provider undertakes to comply with the requirements and measures to ensure the security of the </w:t>
      </w:r>
      <w:r w:rsidR="00C62551">
        <w:t>Costumer</w:t>
      </w:r>
      <w:r>
        <w:t xml:space="preserve">'s information and information assets listed in Annex 2 to this </w:t>
      </w:r>
      <w:r w:rsidR="00C62551">
        <w:t>Contract</w:t>
      </w:r>
      <w:r>
        <w:t xml:space="preserve">. </w:t>
      </w:r>
    </w:p>
    <w:p w14:paraId="00000048" w14:textId="0623CAB2" w:rsidR="003F1A6D" w:rsidRDefault="00DB5D40">
      <w:pPr>
        <w:pStyle w:val="P68B1DB1-Normln3"/>
        <w:numPr>
          <w:ilvl w:val="1"/>
          <w:numId w:val="15"/>
        </w:numPr>
        <w:spacing w:after="0" w:line="240" w:lineRule="auto"/>
        <w:ind w:left="426" w:hanging="426"/>
        <w:jc w:val="both"/>
      </w:pPr>
      <w:r>
        <w:t xml:space="preserve">The Provider is obliged to ensure compliance with the security measures and requirements set out in this </w:t>
      </w:r>
      <w:r w:rsidR="00C62551">
        <w:t>Contract</w:t>
      </w:r>
      <w:r>
        <w:t xml:space="preserve"> to the same extent for any </w:t>
      </w:r>
      <w:r w:rsidR="00C40B92">
        <w:t>sub-provider</w:t>
      </w:r>
      <w:r w:rsidR="00C40B92" w:rsidDel="00C40B92">
        <w:t xml:space="preserve"> </w:t>
      </w:r>
      <w:r>
        <w:t xml:space="preserve">or other persons who have access to the </w:t>
      </w:r>
      <w:r w:rsidR="00C62551">
        <w:t>Costumer</w:t>
      </w:r>
      <w:r>
        <w:t xml:space="preserve">'s information assets through the Provider. </w:t>
      </w:r>
    </w:p>
    <w:p w14:paraId="00000049" w14:textId="2623B973" w:rsidR="003F1A6D" w:rsidRDefault="00DB5D40">
      <w:pPr>
        <w:pStyle w:val="P68B1DB1-Normln3"/>
        <w:numPr>
          <w:ilvl w:val="1"/>
          <w:numId w:val="15"/>
        </w:numPr>
        <w:spacing w:after="0" w:line="240" w:lineRule="auto"/>
        <w:ind w:left="426" w:hanging="426"/>
        <w:jc w:val="both"/>
      </w:pPr>
      <w:r>
        <w:t xml:space="preserve">The Provider is obliged to maintain the confidentiality of all facts and information that were in any way made available to him in connection with this </w:t>
      </w:r>
      <w:r w:rsidR="00C62551">
        <w:t>Contract</w:t>
      </w:r>
      <w:r>
        <w:t xml:space="preserve"> or its performance, transmitted or communicated, or of which he became aware in any way, except those that are at the time when the Provider became acquainted with them, demonstrably publicly accessible or those that without the fault of the Provider become publicly accessible (hereinafter referred to as "confidential information"). The Provider may not use the Confidential Information contrary to its purpose, may not use it for its own benefit or for the benefit of third </w:t>
      </w:r>
      <w:r w:rsidR="00C40B92">
        <w:t>Parties</w:t>
      </w:r>
      <w:r>
        <w:t xml:space="preserve"> and may not use it to the detriment of the </w:t>
      </w:r>
      <w:r w:rsidR="00C62551">
        <w:t>Costumer</w:t>
      </w:r>
      <w:r>
        <w:t xml:space="preserve">. The Provider is obliged to maintain the obligations under this paragraph even after the termination of this </w:t>
      </w:r>
      <w:r w:rsidR="00C62551">
        <w:t>Contract</w:t>
      </w:r>
      <w:r>
        <w:t xml:space="preserve">, unless the confidential information becomes demonstrably publicly accessible without the fault of the Provider. The obligations under this paragraph shall not apply to cases where the Provider is obliged to disclose confidential information on the basis of an obligation imposed on the Provider by a legal regulation or a decision of a public authority. </w:t>
      </w:r>
    </w:p>
    <w:p w14:paraId="0000004A" w14:textId="7CC7521B" w:rsidR="003F1A6D" w:rsidRDefault="00DB5D40">
      <w:pPr>
        <w:pStyle w:val="P68B1DB1-Normln4"/>
        <w:numPr>
          <w:ilvl w:val="1"/>
          <w:numId w:val="15"/>
        </w:numPr>
        <w:spacing w:after="0" w:line="240" w:lineRule="auto"/>
        <w:ind w:left="426" w:hanging="426"/>
        <w:jc w:val="both"/>
      </w:pPr>
      <w:r>
        <w:t xml:space="preserve">For failure to comply with any of the obligations contained in this Article in paragraphs 4.5 to 4.8 and in Annex 2 to this Contract, the </w:t>
      </w:r>
      <w:r w:rsidR="00C62551">
        <w:t>Costumer</w:t>
      </w:r>
      <w:r>
        <w:t xml:space="preserve"> is entitled to charge the Provider a contractual penalty of CZK 100 000 for each individual breach of the obligations contained in the above-mentioned paragraphs and Annex. </w:t>
      </w:r>
    </w:p>
    <w:p w14:paraId="0000004B" w14:textId="01A0E441" w:rsidR="003F1A6D" w:rsidRDefault="00DB5D40">
      <w:pPr>
        <w:pStyle w:val="P68B1DB1-Normln3"/>
        <w:numPr>
          <w:ilvl w:val="1"/>
          <w:numId w:val="15"/>
        </w:numPr>
        <w:spacing w:after="0" w:line="240" w:lineRule="auto"/>
        <w:ind w:left="426" w:hanging="426"/>
        <w:jc w:val="both"/>
      </w:pPr>
      <w:r>
        <w:t xml:space="preserve">The Provider does not have any right to use and use the data processed through the IS on the basis of this contract or otherwise, with the exception of the provision of </w:t>
      </w:r>
      <w:r>
        <w:lastRenderedPageBreak/>
        <w:t xml:space="preserve">activities arising from this service contract and in the event that the </w:t>
      </w:r>
      <w:r w:rsidR="00C62551">
        <w:t>Costumer</w:t>
      </w:r>
      <w:r>
        <w:t xml:space="preserve">'s written consent is issued. Data and information processed through IS belongs to the </w:t>
      </w:r>
      <w:r w:rsidR="00C62551">
        <w:t>Costumer</w:t>
      </w:r>
      <w:r>
        <w:t xml:space="preserve">. </w:t>
      </w:r>
    </w:p>
    <w:p w14:paraId="0000004C" w14:textId="72599863" w:rsidR="003F1A6D" w:rsidRDefault="00DB5D40">
      <w:pPr>
        <w:pStyle w:val="P68B1DB1-Normln3"/>
        <w:numPr>
          <w:ilvl w:val="1"/>
          <w:numId w:val="15"/>
        </w:numPr>
        <w:spacing w:after="0" w:line="240" w:lineRule="auto"/>
        <w:ind w:left="426" w:hanging="426"/>
        <w:jc w:val="both"/>
      </w:pPr>
      <w:r>
        <w:t xml:space="preserve">The </w:t>
      </w:r>
      <w:r w:rsidR="00C62551">
        <w:t>Costumer</w:t>
      </w:r>
      <w:r>
        <w:t xml:space="preserve"> reserves the right to information about: </w:t>
      </w:r>
    </w:p>
    <w:p w14:paraId="0000004D" w14:textId="7E32693D" w:rsidR="003F1A6D" w:rsidRDefault="00DB5D40">
      <w:pPr>
        <w:pStyle w:val="P68B1DB1-Normln3"/>
        <w:numPr>
          <w:ilvl w:val="2"/>
          <w:numId w:val="15"/>
        </w:numPr>
        <w:spacing w:after="0" w:line="240" w:lineRule="auto"/>
        <w:jc w:val="both"/>
      </w:pPr>
      <w:r>
        <w:t>a significant change in the Provider's control under the Business Corporations Act</w:t>
      </w:r>
      <w:r w:rsidR="00F42EC6">
        <w:t xml:space="preserve"> or propriate law act</w:t>
      </w:r>
      <w:r>
        <w:t xml:space="preserve">, </w:t>
      </w:r>
    </w:p>
    <w:p w14:paraId="0000004E" w14:textId="77777777" w:rsidR="003F1A6D" w:rsidRDefault="00DB5D40">
      <w:pPr>
        <w:pStyle w:val="P68B1DB1-Normln3"/>
        <w:numPr>
          <w:ilvl w:val="2"/>
          <w:numId w:val="15"/>
        </w:numPr>
        <w:spacing w:after="0" w:line="240" w:lineRule="auto"/>
        <w:jc w:val="both"/>
      </w:pPr>
      <w:r>
        <w:t xml:space="preserve">change of ownership of the Provider's essential assets related to the performance of this contract, </w:t>
      </w:r>
    </w:p>
    <w:p w14:paraId="0000004F" w14:textId="77777777" w:rsidR="003F1A6D" w:rsidRDefault="00DB5D40">
      <w:pPr>
        <w:pStyle w:val="P68B1DB1-Normln3"/>
        <w:numPr>
          <w:ilvl w:val="2"/>
          <w:numId w:val="15"/>
        </w:numPr>
        <w:spacing w:after="0" w:line="240" w:lineRule="auto"/>
        <w:jc w:val="both"/>
      </w:pPr>
      <w:r>
        <w:t xml:space="preserve">changing the authority to dispose of these assets; </w:t>
      </w:r>
    </w:p>
    <w:p w14:paraId="00000050" w14:textId="3851A50C" w:rsidR="003F1A6D" w:rsidRDefault="00DB5D40">
      <w:pPr>
        <w:pStyle w:val="P68B1DB1-Normln3"/>
        <w:numPr>
          <w:ilvl w:val="2"/>
          <w:numId w:val="15"/>
        </w:numPr>
        <w:spacing w:after="0" w:line="240" w:lineRule="auto"/>
        <w:jc w:val="both"/>
      </w:pPr>
      <w:r>
        <w:t xml:space="preserve">the method of managing information security risks on the part of the </w:t>
      </w:r>
      <w:r w:rsidR="00C62551">
        <w:t>Provider</w:t>
      </w:r>
    </w:p>
    <w:p w14:paraId="00000051" w14:textId="438E3FC0" w:rsidR="003F1A6D" w:rsidRDefault="00DB5D40">
      <w:pPr>
        <w:pStyle w:val="P68B1DB1-Normln3"/>
        <w:numPr>
          <w:ilvl w:val="1"/>
          <w:numId w:val="15"/>
        </w:numPr>
        <w:spacing w:after="0" w:line="240" w:lineRule="auto"/>
        <w:ind w:left="426" w:hanging="426"/>
        <w:jc w:val="both"/>
      </w:pPr>
      <w:r>
        <w:t xml:space="preserve">The Provider is obliged to respect and follow the Customer's instructions when providing services. In the event of inappropriate instructions from the </w:t>
      </w:r>
      <w:r w:rsidR="00C62551">
        <w:t>Costumer</w:t>
      </w:r>
      <w:r>
        <w:t xml:space="preserve">, the Provider is obliged to notify the </w:t>
      </w:r>
      <w:r w:rsidR="00C62551">
        <w:t>Costumer</w:t>
      </w:r>
      <w:r>
        <w:t xml:space="preserve"> in writing of the inappropriateness of these instructions. Otherwise, the Provider shall in particular be liable for damage and non-material damage incurred as a result of inappropriate instructions to the </w:t>
      </w:r>
      <w:r w:rsidR="00C62551">
        <w:t>Costumer</w:t>
      </w:r>
      <w:r>
        <w:t xml:space="preserve"> or third </w:t>
      </w:r>
      <w:r w:rsidR="00C40B92">
        <w:t>Parties</w:t>
      </w:r>
      <w:r>
        <w:t>.</w:t>
      </w:r>
    </w:p>
    <w:p w14:paraId="00000052" w14:textId="706A13E3" w:rsidR="003F1A6D" w:rsidRDefault="00DB5D40">
      <w:pPr>
        <w:pStyle w:val="P68B1DB1-Normln3"/>
        <w:numPr>
          <w:ilvl w:val="1"/>
          <w:numId w:val="15"/>
        </w:numPr>
        <w:spacing w:after="0" w:line="240" w:lineRule="auto"/>
        <w:ind w:left="426" w:hanging="426"/>
        <w:jc w:val="both"/>
      </w:pPr>
      <w:r>
        <w:t xml:space="preserve">The </w:t>
      </w:r>
      <w:r w:rsidR="00C62551">
        <w:t>Costumer</w:t>
      </w:r>
      <w:r>
        <w:t xml:space="preserve"> is obliged to cooperate with the Provider and provide him with all necessary cooperation necessary for the proper provision of services under this </w:t>
      </w:r>
      <w:r w:rsidR="00C62551">
        <w:t>Contract</w:t>
      </w:r>
      <w:r>
        <w:t xml:space="preserve">. The </w:t>
      </w:r>
      <w:r w:rsidR="00C62551">
        <w:t>Costumer</w:t>
      </w:r>
      <w:r>
        <w:t xml:space="preserve"> is obliged to inform the Provider of all facts that are or may be important for the provision of services under this </w:t>
      </w:r>
      <w:r w:rsidR="00C62551">
        <w:t>Contract</w:t>
      </w:r>
      <w:r>
        <w:t>.</w:t>
      </w:r>
    </w:p>
    <w:p w14:paraId="00000053" w14:textId="35BB5586" w:rsidR="003F1A6D" w:rsidRDefault="00DB5D40">
      <w:pPr>
        <w:pStyle w:val="P68B1DB1-Normln3"/>
        <w:numPr>
          <w:ilvl w:val="1"/>
          <w:numId w:val="15"/>
        </w:numPr>
        <w:spacing w:after="0" w:line="240" w:lineRule="auto"/>
        <w:ind w:left="426" w:hanging="426"/>
        <w:jc w:val="both"/>
      </w:pPr>
      <w:r>
        <w:t xml:space="preserve">If the Customer does not provide cooperation under this Article, the Provider has the right to require the Customer to postpone the specified dates by the period during which the Provider could not provide service under this </w:t>
      </w:r>
      <w:r w:rsidR="00C62551">
        <w:t>Contract</w:t>
      </w:r>
      <w:r>
        <w:t xml:space="preserve"> due to non-cooperation. The </w:t>
      </w:r>
      <w:r w:rsidR="00C62551">
        <w:t>Costumer</w:t>
      </w:r>
      <w:r>
        <w:t xml:space="preserve"> is obliged to comply with such a request.</w:t>
      </w:r>
    </w:p>
    <w:p w14:paraId="00000054" w14:textId="42789088" w:rsidR="003F1A6D" w:rsidRDefault="00DB5D40">
      <w:pPr>
        <w:pStyle w:val="P68B1DB1-Normln3"/>
        <w:numPr>
          <w:ilvl w:val="1"/>
          <w:numId w:val="15"/>
        </w:numPr>
        <w:spacing w:after="0" w:line="240" w:lineRule="auto"/>
        <w:ind w:left="426" w:hanging="426"/>
        <w:jc w:val="both"/>
      </w:pPr>
      <w:r>
        <w:t xml:space="preserve">The </w:t>
      </w:r>
      <w:r w:rsidR="00C62551">
        <w:t>Costumer</w:t>
      </w:r>
      <w:r>
        <w:t xml:space="preserve"> is obliged to provide the Provider with cooperation to ensure remote access to the Provider's IS servers solely for the purpose of providing services under this </w:t>
      </w:r>
      <w:r w:rsidR="00C62551">
        <w:t>Contract</w:t>
      </w:r>
      <w:r>
        <w:t>.</w:t>
      </w:r>
    </w:p>
    <w:p w14:paraId="00000055" w14:textId="77777777" w:rsidR="003F1A6D" w:rsidRDefault="00DB5D40">
      <w:pPr>
        <w:pStyle w:val="P68B1DB1-Normln3"/>
        <w:numPr>
          <w:ilvl w:val="1"/>
          <w:numId w:val="15"/>
        </w:numPr>
        <w:spacing w:after="0" w:line="240" w:lineRule="auto"/>
        <w:ind w:left="426" w:hanging="426"/>
        <w:jc w:val="both"/>
      </w:pPr>
      <w:r>
        <w:t>The Provider shall provide the Customer with a written notice of changes to the Provider's contact details or the Service Desk's web address at least five days before the expected change.</w:t>
      </w:r>
    </w:p>
    <w:p w14:paraId="00000056" w14:textId="12906605" w:rsidR="003F1A6D" w:rsidRDefault="00DB5D40">
      <w:pPr>
        <w:pStyle w:val="P68B1DB1-Normln3"/>
        <w:numPr>
          <w:ilvl w:val="1"/>
          <w:numId w:val="15"/>
        </w:numPr>
        <w:spacing w:after="0" w:line="240" w:lineRule="auto"/>
        <w:ind w:left="426" w:hanging="426"/>
        <w:jc w:val="both"/>
      </w:pPr>
      <w:r>
        <w:t xml:space="preserve">Once in 3 months of the duration of this contract, the </w:t>
      </w:r>
      <w:r w:rsidR="00C62551">
        <w:t>Costumer</w:t>
      </w:r>
      <w:r>
        <w:t xml:space="preserve"> is entitled to invoke the actions of the </w:t>
      </w:r>
      <w:r w:rsidR="00C62551">
        <w:t>Costumer</w:t>
      </w:r>
      <w:r>
        <w:t xml:space="preserve"> and the Provider for the performance provided under this contract. The </w:t>
      </w:r>
      <w:r w:rsidR="00C62551">
        <w:t>Costumer</w:t>
      </w:r>
      <w:r>
        <w:t xml:space="preserve"> shall invite the Provider to a joint meeting at least 5 working days in advance. In the invitation, the </w:t>
      </w:r>
      <w:r w:rsidR="00C62551">
        <w:t>Costumer</w:t>
      </w:r>
      <w:r>
        <w:t xml:space="preserve"> shall specify in particular the date, place, time and agenda of the meeting. On behalf of the Provider, persons with relevant expertise in relation to the agenda are obliged to participate in the negotiations. In particular, the following will be regularly discussed:</w:t>
      </w:r>
    </w:p>
    <w:p w14:paraId="00000057" w14:textId="77777777" w:rsidR="003F1A6D" w:rsidRDefault="00DB5D40">
      <w:pPr>
        <w:pStyle w:val="P68B1DB1-Normln3"/>
        <w:numPr>
          <w:ilvl w:val="2"/>
          <w:numId w:val="11"/>
        </w:numPr>
        <w:spacing w:after="0" w:line="240" w:lineRule="auto"/>
        <w:jc w:val="both"/>
      </w:pPr>
      <w:r>
        <w:t>Overview of the current state of IS operation</w:t>
      </w:r>
    </w:p>
    <w:p w14:paraId="00000058" w14:textId="77777777" w:rsidR="003F1A6D" w:rsidRDefault="00DB5D40">
      <w:pPr>
        <w:pStyle w:val="P68B1DB1-Normln3"/>
        <w:numPr>
          <w:ilvl w:val="2"/>
          <w:numId w:val="11"/>
        </w:numPr>
        <w:spacing w:after="0" w:line="240" w:lineRule="auto"/>
        <w:jc w:val="both"/>
      </w:pPr>
      <w:r>
        <w:t>Overview of tasks, incident and error handling</w:t>
      </w:r>
    </w:p>
    <w:p w14:paraId="00000059" w14:textId="77777777" w:rsidR="003F1A6D" w:rsidRDefault="00DB5D40">
      <w:pPr>
        <w:pStyle w:val="P68B1DB1-Normln3"/>
        <w:numPr>
          <w:ilvl w:val="2"/>
          <w:numId w:val="11"/>
        </w:numPr>
        <w:spacing w:after="0" w:line="240" w:lineRule="auto"/>
        <w:jc w:val="both"/>
      </w:pPr>
      <w:r>
        <w:t>Regular information on the SW development plan (IS)</w:t>
      </w:r>
    </w:p>
    <w:p w14:paraId="0000005A" w14:textId="77777777" w:rsidR="003F1A6D" w:rsidRDefault="00DB5D40">
      <w:pPr>
        <w:pStyle w:val="P68B1DB1-Normln3"/>
        <w:numPr>
          <w:ilvl w:val="2"/>
          <w:numId w:val="11"/>
        </w:numPr>
        <w:spacing w:after="0" w:line="240" w:lineRule="auto"/>
        <w:jc w:val="both"/>
      </w:pPr>
      <w:r>
        <w:t>Discussion of possible requirements for IS changes and service services</w:t>
      </w:r>
    </w:p>
    <w:p w14:paraId="0000005B" w14:textId="35705ACB" w:rsidR="003F1A6D" w:rsidRDefault="00DB5D40">
      <w:pPr>
        <w:pStyle w:val="P68B1DB1-Normln3"/>
        <w:spacing w:after="0" w:line="240" w:lineRule="auto"/>
        <w:ind w:left="426"/>
        <w:jc w:val="both"/>
      </w:pPr>
      <w:r>
        <w:t xml:space="preserve">In the event that the </w:t>
      </w:r>
      <w:r w:rsidR="00C62551">
        <w:t>Costumer</w:t>
      </w:r>
      <w:r>
        <w:t xml:space="preserve"> requests personal participation in a meeting at a place other than the Provider's registered office, the Provider has the right to reimbursement of travel expenses incurred and time spent while traveling to the venue.</w:t>
      </w:r>
    </w:p>
    <w:p w14:paraId="0000005C" w14:textId="77777777" w:rsidR="003F1A6D" w:rsidRDefault="003F1A6D">
      <w:pPr>
        <w:spacing w:after="0" w:line="240" w:lineRule="auto"/>
        <w:ind w:left="709"/>
        <w:jc w:val="both"/>
        <w:rPr>
          <w:rFonts w:ascii="Arial" w:eastAsia="Arial" w:hAnsi="Arial" w:cs="Arial"/>
        </w:rPr>
      </w:pPr>
    </w:p>
    <w:p w14:paraId="0000005D" w14:textId="7847409A" w:rsidR="003F1A6D" w:rsidRDefault="00DB5D40">
      <w:pPr>
        <w:pStyle w:val="P68B1DB1-Normln2"/>
        <w:numPr>
          <w:ilvl w:val="0"/>
          <w:numId w:val="7"/>
        </w:numPr>
        <w:spacing w:after="0" w:line="240" w:lineRule="auto"/>
        <w:ind w:hanging="720"/>
        <w:jc w:val="both"/>
        <w:rPr>
          <w:bCs/>
        </w:rPr>
      </w:pPr>
      <w:r>
        <w:t>Price of service</w:t>
      </w:r>
      <w:r w:rsidR="00F42EC6">
        <w:t>s</w:t>
      </w:r>
      <w:r>
        <w:t>, invoicing and payment terms</w:t>
      </w:r>
    </w:p>
    <w:p w14:paraId="0000005E" w14:textId="0DA70690" w:rsidR="003F1A6D" w:rsidRDefault="00DB5D40">
      <w:pPr>
        <w:pStyle w:val="P68B1DB1-Normln3"/>
        <w:numPr>
          <w:ilvl w:val="1"/>
          <w:numId w:val="18"/>
        </w:numPr>
        <w:spacing w:after="0" w:line="240" w:lineRule="auto"/>
        <w:ind w:left="426" w:hanging="426"/>
        <w:jc w:val="both"/>
      </w:pPr>
      <w:r>
        <w:t xml:space="preserve">The </w:t>
      </w:r>
      <w:r w:rsidR="00C62551">
        <w:t>Costumer</w:t>
      </w:r>
      <w:r>
        <w:t xml:space="preserve"> undertakes to pay the Provider for the provision of services under this </w:t>
      </w:r>
      <w:r w:rsidR="00C62551">
        <w:t>Contract</w:t>
      </w:r>
      <w:r>
        <w:t xml:space="preserve"> the contractual price under Article 5.7 of the </w:t>
      </w:r>
      <w:r w:rsidR="00C62551">
        <w:t>Contract</w:t>
      </w:r>
      <w:r>
        <w:t xml:space="preserve">. </w:t>
      </w:r>
    </w:p>
    <w:p w14:paraId="0000005F" w14:textId="317E8D1E" w:rsidR="003F1A6D" w:rsidRDefault="00DB5D40">
      <w:pPr>
        <w:pStyle w:val="P68B1DB1-Normln3"/>
        <w:numPr>
          <w:ilvl w:val="1"/>
          <w:numId w:val="18"/>
        </w:numPr>
        <w:spacing w:after="0" w:line="240" w:lineRule="auto"/>
        <w:ind w:left="426" w:hanging="426"/>
        <w:jc w:val="both"/>
      </w:pPr>
      <w:r>
        <w:t xml:space="preserve">The price of services includes all costs that the Provider may incur in connection with the provision of services, in particular travel expenses and costs for software and hardware equipment. In addition to the above-mentioned price, the Provider is not entitled to any other financial performance for the provision of services. Exceptions are cases where the Provider has been invited by the </w:t>
      </w:r>
      <w:r w:rsidR="00C62551">
        <w:t>Costumer</w:t>
      </w:r>
      <w:r>
        <w:t xml:space="preserve"> to perform a service or to attend a meeting in person at an agreed place outside the Provider's registered office, </w:t>
      </w:r>
      <w:r>
        <w:lastRenderedPageBreak/>
        <w:t xml:space="preserve">although it would be possible to perform the service by remote connection or by teleconference. In such cases, the Provider is entitled to reimbursement of travel expenses, including compensation for lost time during travel. When using a company car, a price of CZK 14 is agreed for each </w:t>
      </w:r>
      <w:r w:rsidR="00DF44BF">
        <w:t>kilometer</w:t>
      </w:r>
      <w:r>
        <w:t xml:space="preserve"> travelled; when using public transport, the costs will be covered according to the submitted documents. The cost of lost time is 1000</w:t>
      </w:r>
      <w:r w:rsidR="00F42EC6">
        <w:t xml:space="preserve"> </w:t>
      </w:r>
      <w:r>
        <w:t>CZK without VAT for 1 hour and one person.</w:t>
      </w:r>
    </w:p>
    <w:p w14:paraId="00000060" w14:textId="77777777" w:rsidR="003F1A6D" w:rsidRDefault="00DB5D40">
      <w:pPr>
        <w:pStyle w:val="P68B1DB1-Normln3"/>
        <w:numPr>
          <w:ilvl w:val="1"/>
          <w:numId w:val="18"/>
        </w:numPr>
        <w:spacing w:after="0" w:line="240" w:lineRule="auto"/>
        <w:ind w:left="426" w:hanging="426"/>
        <w:jc w:val="both"/>
      </w:pPr>
      <w:r>
        <w:t>The service price in the Incident Management category includes:</w:t>
      </w:r>
    </w:p>
    <w:p w14:paraId="00000061" w14:textId="77777777" w:rsidR="003F1A6D" w:rsidRDefault="00DB5D40">
      <w:pPr>
        <w:pStyle w:val="P68B1DB1-Normln3"/>
        <w:numPr>
          <w:ilvl w:val="1"/>
          <w:numId w:val="19"/>
        </w:numPr>
        <w:spacing w:after="0" w:line="240" w:lineRule="auto"/>
        <w:ind w:left="851" w:hanging="426"/>
        <w:jc w:val="both"/>
      </w:pPr>
      <w:r>
        <w:t>all costs that the Provider may incur in connection with the provision of this category of services, in particular travel and software and hardware costs;</w:t>
      </w:r>
    </w:p>
    <w:p w14:paraId="00000062" w14:textId="77777777" w:rsidR="003F1A6D" w:rsidRDefault="00DB5D40">
      <w:pPr>
        <w:pStyle w:val="P68B1DB1-Normln3"/>
        <w:numPr>
          <w:ilvl w:val="1"/>
          <w:numId w:val="19"/>
        </w:numPr>
        <w:spacing w:after="0" w:line="240" w:lineRule="auto"/>
        <w:ind w:left="851" w:hanging="426"/>
        <w:jc w:val="both"/>
      </w:pPr>
      <w:r>
        <w:t>the price of spare parts, materials and/or complete products (hereinafter referred to as "material") that will have to be supplied or exchanged to resolve the incident, except where the incident is caused by external events and is not caused by the Provider or the persons with whom he/she has discharged his/her debt under this contract.</w:t>
      </w:r>
    </w:p>
    <w:p w14:paraId="00000063" w14:textId="21F43F67" w:rsidR="003F1A6D" w:rsidRDefault="00DB5D40">
      <w:pPr>
        <w:pStyle w:val="P68B1DB1-Normln3"/>
        <w:numPr>
          <w:ilvl w:val="1"/>
          <w:numId w:val="18"/>
        </w:numPr>
        <w:spacing w:after="0" w:line="240" w:lineRule="auto"/>
        <w:ind w:left="426" w:hanging="426"/>
        <w:jc w:val="both"/>
      </w:pPr>
      <w:r>
        <w:t xml:space="preserve">For material the price of which is not included in the price of services in the category of Incident Management, the Provider is entitled to charge a maximum of the usual price. The Provider undertakes to notify the </w:t>
      </w:r>
      <w:r w:rsidR="00C62551">
        <w:t>Costumer</w:t>
      </w:r>
      <w:r>
        <w:t xml:space="preserve"> in advance of the fact that in order to resolve the incident, it will be necessary to deliver material the price of which is not included in the price of the service.</w:t>
      </w:r>
    </w:p>
    <w:p w14:paraId="00000064" w14:textId="77777777" w:rsidR="003F1A6D" w:rsidRDefault="00DB5D40">
      <w:pPr>
        <w:pStyle w:val="P68B1DB1-Normln3"/>
        <w:numPr>
          <w:ilvl w:val="1"/>
          <w:numId w:val="18"/>
        </w:numPr>
        <w:spacing w:after="0" w:line="240" w:lineRule="auto"/>
        <w:ind w:left="426" w:hanging="426"/>
        <w:jc w:val="both"/>
      </w:pPr>
      <w:r>
        <w:t>The prices listed in this article are exclusive of VAT.</w:t>
      </w:r>
    </w:p>
    <w:p w14:paraId="00000065" w14:textId="77777777" w:rsidR="003F1A6D" w:rsidRDefault="00DB5D40">
      <w:pPr>
        <w:pStyle w:val="P68B1DB1-Normln3"/>
        <w:numPr>
          <w:ilvl w:val="1"/>
          <w:numId w:val="18"/>
        </w:numPr>
        <w:spacing w:after="0" w:line="240" w:lineRule="auto"/>
        <w:ind w:left="426" w:hanging="426"/>
        <w:jc w:val="both"/>
      </w:pPr>
      <w:r>
        <w:t>To the price of the transaction will be added VAT in the appropriate amount according to the applicable legislation effective at the time of the provision of service.</w:t>
      </w:r>
    </w:p>
    <w:p w14:paraId="00000066" w14:textId="77777777" w:rsidR="003F1A6D" w:rsidRDefault="00DB5D40">
      <w:pPr>
        <w:pStyle w:val="P68B1DB1-Normln3"/>
        <w:numPr>
          <w:ilvl w:val="1"/>
          <w:numId w:val="18"/>
        </w:numPr>
        <w:spacing w:after="0" w:line="240" w:lineRule="auto"/>
        <w:ind w:left="426" w:hanging="426"/>
        <w:jc w:val="both"/>
      </w:pPr>
      <w:r>
        <w:t xml:space="preserve">The Customer undertakes to pay the price for the provision of services on the basis of invoices (hereinafter referred to as "invoice") issued by the Provider after the end of the calendar quarter. Invoices will always be invoiced as follows: </w:t>
      </w:r>
    </w:p>
    <w:p w14:paraId="00000067" w14:textId="77777777" w:rsidR="003F1A6D" w:rsidRDefault="00DB5D40">
      <w:pPr>
        <w:pStyle w:val="P68B1DB1-Normln3"/>
        <w:numPr>
          <w:ilvl w:val="2"/>
          <w:numId w:val="13"/>
        </w:numPr>
        <w:spacing w:after="0" w:line="240" w:lineRule="auto"/>
        <w:ind w:left="1276"/>
        <w:jc w:val="both"/>
      </w:pPr>
      <w:r>
        <w:t xml:space="preserve">the price of services in the category of "technical support and development" provided by the Provider, according to the hourly rate of service </w:t>
      </w:r>
    </w:p>
    <w:p w14:paraId="00000068" w14:textId="77777777" w:rsidR="003F1A6D" w:rsidRDefault="00DB5D40">
      <w:pPr>
        <w:pStyle w:val="P68B1DB1-Normln2"/>
        <w:spacing w:after="0" w:line="240" w:lineRule="auto"/>
        <w:ind w:left="1276"/>
        <w:jc w:val="both"/>
        <w:rPr>
          <w:bCs/>
        </w:rPr>
      </w:pPr>
      <w:r>
        <w:t>technical support:</w:t>
      </w:r>
    </w:p>
    <w:p w14:paraId="00000069" w14:textId="39A3CEC8" w:rsidR="003F1A6D" w:rsidRDefault="00DB5D40">
      <w:pPr>
        <w:pStyle w:val="P68B1DB1-Normln2"/>
        <w:spacing w:after="0" w:line="240" w:lineRule="auto"/>
        <w:ind w:left="1276"/>
        <w:jc w:val="both"/>
        <w:rPr>
          <w:bCs/>
        </w:rPr>
      </w:pPr>
      <w:r>
        <w:rPr>
          <w:highlight w:val="lightGray"/>
        </w:rPr>
        <w:t xml:space="preserve">[CZK without VAT will be added according to the </w:t>
      </w:r>
      <w:r w:rsidR="00F42EC6">
        <w:rPr>
          <w:highlight w:val="lightGray"/>
        </w:rPr>
        <w:t>price quotation</w:t>
      </w:r>
      <w:r>
        <w:rPr>
          <w:highlight w:val="lightGray"/>
        </w:rPr>
        <w:t xml:space="preserve"> from the </w:t>
      </w:r>
      <w:r w:rsidR="00C62551">
        <w:rPr>
          <w:highlight w:val="lightGray"/>
        </w:rPr>
        <w:t>tender</w:t>
      </w:r>
      <w:r>
        <w:rPr>
          <w:highlight w:val="lightGray"/>
        </w:rPr>
        <w:t>]</w:t>
      </w:r>
      <w:r>
        <w:t xml:space="preserve"> </w:t>
      </w:r>
    </w:p>
    <w:p w14:paraId="0000006A" w14:textId="77777777" w:rsidR="003F1A6D" w:rsidRDefault="00DB5D40">
      <w:pPr>
        <w:pStyle w:val="P68B1DB1-Normln2"/>
        <w:spacing w:after="0" w:line="240" w:lineRule="auto"/>
        <w:ind w:left="1276"/>
        <w:jc w:val="both"/>
        <w:rPr>
          <w:bCs/>
        </w:rPr>
      </w:pPr>
      <w:r>
        <w:t>development:</w:t>
      </w:r>
    </w:p>
    <w:p w14:paraId="0000006B" w14:textId="5C40B349" w:rsidR="003F1A6D" w:rsidRDefault="00DB5D40">
      <w:pPr>
        <w:pStyle w:val="P68B1DB1-Normln6"/>
        <w:spacing w:after="0" w:line="240" w:lineRule="auto"/>
        <w:ind w:left="1276"/>
        <w:jc w:val="both"/>
        <w:rPr>
          <w:bCs/>
        </w:rPr>
      </w:pPr>
      <w:r>
        <w:t xml:space="preserve">[CZK without VAT will be added according to the </w:t>
      </w:r>
      <w:r w:rsidR="00F42EC6">
        <w:t>price quotation</w:t>
      </w:r>
      <w:r w:rsidR="00F42EC6" w:rsidDel="00F42EC6">
        <w:t xml:space="preserve"> </w:t>
      </w:r>
      <w:r>
        <w:t xml:space="preserve">from the </w:t>
      </w:r>
      <w:r w:rsidR="00C62551">
        <w:t>tender</w:t>
      </w:r>
      <w:r>
        <w:t>]</w:t>
      </w:r>
    </w:p>
    <w:p w14:paraId="0000006C" w14:textId="77777777" w:rsidR="003F1A6D" w:rsidRDefault="00DB5D40">
      <w:pPr>
        <w:pStyle w:val="P68B1DB1-Normln3"/>
        <w:spacing w:after="0" w:line="240" w:lineRule="auto"/>
        <w:ind w:left="1276"/>
        <w:jc w:val="both"/>
      </w:pPr>
      <w:r>
        <w:t xml:space="preserve">and the time actually, demonstrably and efficiently spent by the Provider in providing these services in the relevant calendar quarter, </w:t>
      </w:r>
    </w:p>
    <w:p w14:paraId="0000006D" w14:textId="392ACF30" w:rsidR="003F1A6D" w:rsidRDefault="00DB5D40">
      <w:pPr>
        <w:pStyle w:val="P68B1DB1-Normln3"/>
        <w:numPr>
          <w:ilvl w:val="2"/>
          <w:numId w:val="13"/>
        </w:numPr>
        <w:spacing w:after="0" w:line="240" w:lineRule="auto"/>
        <w:ind w:left="1276"/>
        <w:jc w:val="both"/>
      </w:pPr>
      <w:r>
        <w:t xml:space="preserve">flat-rate quarterly remuneration (quarterly flat-rate service) in the amount of </w:t>
      </w:r>
      <w:r>
        <w:rPr>
          <w:b/>
          <w:highlight w:val="lightGray"/>
        </w:rPr>
        <w:t xml:space="preserve">[CZK will be added excluding VAT according to the </w:t>
      </w:r>
      <w:r w:rsidR="00F42EC6" w:rsidRPr="00DF44BF">
        <w:rPr>
          <w:b/>
          <w:bCs/>
          <w:highlight w:val="lightGray"/>
        </w:rPr>
        <w:t>price quotation</w:t>
      </w:r>
      <w:r w:rsidR="00F42EC6" w:rsidDel="00F42EC6">
        <w:rPr>
          <w:b/>
          <w:highlight w:val="lightGray"/>
        </w:rPr>
        <w:t xml:space="preserve"> </w:t>
      </w:r>
      <w:r>
        <w:rPr>
          <w:b/>
          <w:highlight w:val="lightGray"/>
        </w:rPr>
        <w:t xml:space="preserve">from the </w:t>
      </w:r>
      <w:r w:rsidR="00C62551">
        <w:rPr>
          <w:b/>
          <w:highlight w:val="lightGray"/>
        </w:rPr>
        <w:t>tender</w:t>
      </w:r>
      <w:r>
        <w:rPr>
          <w:b/>
          <w:highlight w:val="lightGray"/>
        </w:rPr>
        <w:t>],</w:t>
      </w:r>
      <w:r>
        <w:t xml:space="preserve"> including:</w:t>
      </w:r>
    </w:p>
    <w:p w14:paraId="0000006E" w14:textId="77777777" w:rsidR="003F1A6D" w:rsidRDefault="00DB5D40">
      <w:pPr>
        <w:pStyle w:val="P68B1DB1-Normln4"/>
        <w:numPr>
          <w:ilvl w:val="2"/>
          <w:numId w:val="20"/>
        </w:numPr>
        <w:pBdr>
          <w:top w:val="nil"/>
          <w:left w:val="nil"/>
          <w:bottom w:val="nil"/>
          <w:right w:val="nil"/>
          <w:between w:val="nil"/>
        </w:pBdr>
        <w:spacing w:after="0" w:line="240" w:lineRule="auto"/>
        <w:ind w:left="1843"/>
        <w:jc w:val="both"/>
      </w:pPr>
      <w:r>
        <w:t>standby service in accordance with Article 2.4 of this contract,</w:t>
      </w:r>
    </w:p>
    <w:p w14:paraId="0000006F" w14:textId="77777777" w:rsidR="003F1A6D" w:rsidRDefault="00DB5D40">
      <w:pPr>
        <w:pStyle w:val="P68B1DB1-Normln4"/>
        <w:numPr>
          <w:ilvl w:val="2"/>
          <w:numId w:val="20"/>
        </w:numPr>
        <w:pBdr>
          <w:top w:val="nil"/>
          <w:left w:val="nil"/>
          <w:bottom w:val="nil"/>
          <w:right w:val="nil"/>
          <w:between w:val="nil"/>
        </w:pBdr>
        <w:spacing w:after="0" w:line="240" w:lineRule="auto"/>
        <w:ind w:left="1843"/>
        <w:jc w:val="both"/>
      </w:pPr>
      <w:r>
        <w:t>service in the category of ‘incident management’ provided by the Provider in the relevant quarter,</w:t>
      </w:r>
    </w:p>
    <w:p w14:paraId="00000070" w14:textId="77777777" w:rsidR="003F1A6D" w:rsidRDefault="00DB5D40">
      <w:pPr>
        <w:pStyle w:val="P68B1DB1-Normln4"/>
        <w:numPr>
          <w:ilvl w:val="2"/>
          <w:numId w:val="20"/>
        </w:numPr>
        <w:pBdr>
          <w:top w:val="nil"/>
          <w:left w:val="nil"/>
          <w:bottom w:val="nil"/>
          <w:right w:val="nil"/>
          <w:between w:val="nil"/>
        </w:pBdr>
        <w:spacing w:after="0" w:line="240" w:lineRule="auto"/>
        <w:ind w:left="1843"/>
        <w:jc w:val="both"/>
      </w:pPr>
      <w:r>
        <w:t>service in the category of ‘maintenance’ provided by the Provider in the relevant quarter.</w:t>
      </w:r>
    </w:p>
    <w:p w14:paraId="00000071" w14:textId="21EC23A0" w:rsidR="003F1A6D" w:rsidRDefault="00DB5D40">
      <w:pPr>
        <w:pStyle w:val="P68B1DB1-Normln3"/>
        <w:numPr>
          <w:ilvl w:val="1"/>
          <w:numId w:val="18"/>
        </w:numPr>
        <w:spacing w:after="0" w:line="240" w:lineRule="auto"/>
        <w:ind w:left="426" w:hanging="426"/>
        <w:jc w:val="both"/>
      </w:pPr>
      <w:r>
        <w:t xml:space="preserve">The Provider is obliged to send reports to the </w:t>
      </w:r>
      <w:r w:rsidR="00C62551">
        <w:t>Costumer</w:t>
      </w:r>
      <w:r>
        <w:t xml:space="preserve"> for confirmation about the provision of services in individual quarters. Attached to each invoice must be the Customer's agreed and confirmed quarterly statements of provided services covering the calendar quarter charged. </w:t>
      </w:r>
    </w:p>
    <w:p w14:paraId="00000072" w14:textId="77777777" w:rsidR="003F1A6D" w:rsidRDefault="00DB5D40">
      <w:pPr>
        <w:pStyle w:val="P68B1DB1-Normln3"/>
        <w:numPr>
          <w:ilvl w:val="1"/>
          <w:numId w:val="18"/>
        </w:numPr>
        <w:spacing w:after="0" w:line="240" w:lineRule="auto"/>
        <w:ind w:left="426" w:hanging="426"/>
        <w:jc w:val="both"/>
      </w:pPr>
      <w:r>
        <w:t>The price for the provision of services pursuant to Article 5.7 is due within 30 calendar days from the delivery of the invoice to the Customer.</w:t>
      </w:r>
    </w:p>
    <w:p w14:paraId="00000073" w14:textId="56ADDB47" w:rsidR="003F1A6D" w:rsidRDefault="00DB5D40">
      <w:pPr>
        <w:pStyle w:val="P68B1DB1-Normln3"/>
        <w:numPr>
          <w:ilvl w:val="1"/>
          <w:numId w:val="18"/>
        </w:numPr>
        <w:spacing w:after="0" w:line="240" w:lineRule="auto"/>
        <w:ind w:left="426" w:hanging="426"/>
        <w:jc w:val="both"/>
      </w:pPr>
      <w:r>
        <w:t xml:space="preserve">All invoices issued must comply with the requirements of a tax document pursuant to </w:t>
      </w:r>
      <w:r w:rsidR="00F42EC6">
        <w:t xml:space="preserve">Article </w:t>
      </w:r>
      <w:r>
        <w:t>29 of Act No</w:t>
      </w:r>
      <w:r w:rsidR="00F42EC6">
        <w:t>.</w:t>
      </w:r>
      <w:r>
        <w:t xml:space="preserve"> 235/2004</w:t>
      </w:r>
      <w:r w:rsidR="00F42EC6">
        <w:t xml:space="preserve"> Coll.</w:t>
      </w:r>
      <w:r>
        <w:t xml:space="preserve"> on value added tax, as amended (‘the VAT Act’), with the requirements laid down in </w:t>
      </w:r>
      <w:r w:rsidR="00F42EC6">
        <w:t xml:space="preserve">Article </w:t>
      </w:r>
      <w:r>
        <w:t xml:space="preserve">435 of the Civil Code and with the requirements laid down in this contract, including the agreed annexes and integral parts. </w:t>
      </w:r>
    </w:p>
    <w:p w14:paraId="00000074" w14:textId="3230881E" w:rsidR="003F1A6D" w:rsidRDefault="00DB5D40">
      <w:pPr>
        <w:pStyle w:val="P68B1DB1-Normln3"/>
        <w:numPr>
          <w:ilvl w:val="1"/>
          <w:numId w:val="18"/>
        </w:numPr>
        <w:spacing w:after="0" w:line="240" w:lineRule="auto"/>
        <w:ind w:left="426" w:hanging="426"/>
        <w:jc w:val="both"/>
      </w:pPr>
      <w:r>
        <w:lastRenderedPageBreak/>
        <w:t xml:space="preserve">If the invoice does not contain any obligatory or agreed particulars, including agreed annexes or integral parts, or if the price, VAT or other particulars of the invoice are incorrectly determined, the Customer is entitled to return this invoice to the Provider for repair, indicating the reason for the return. The </w:t>
      </w:r>
      <w:r w:rsidR="00C62551">
        <w:t>Provider</w:t>
      </w:r>
      <w:r>
        <w:t xml:space="preserve"> shall make the correction by issuing a new invoice. From the time of sending the defective invoice back to the Provider, the original payment period ceases to run. The whole new payment period runs again from the date of delivery of the newly prepared invoice to the </w:t>
      </w:r>
      <w:r w:rsidR="00C62551">
        <w:t>Costumer</w:t>
      </w:r>
      <w:r>
        <w:t>.</w:t>
      </w:r>
    </w:p>
    <w:p w14:paraId="00000075" w14:textId="66C21C84" w:rsidR="003F1A6D" w:rsidRDefault="00DB5D40">
      <w:pPr>
        <w:pStyle w:val="P68B1DB1-Normln4"/>
        <w:numPr>
          <w:ilvl w:val="1"/>
          <w:numId w:val="18"/>
        </w:numPr>
        <w:pBdr>
          <w:top w:val="nil"/>
          <w:left w:val="nil"/>
          <w:bottom w:val="nil"/>
          <w:right w:val="nil"/>
          <w:between w:val="nil"/>
        </w:pBdr>
        <w:spacing w:after="0" w:line="240" w:lineRule="auto"/>
        <w:ind w:left="426" w:hanging="426"/>
        <w:jc w:val="both"/>
      </w:pPr>
      <w:r>
        <w:t xml:space="preserve">The tax document (invoice) will be paid by an interbank transfer from the </w:t>
      </w:r>
      <w:r w:rsidR="00C62551">
        <w:t>Costumer</w:t>
      </w:r>
      <w:r>
        <w:t xml:space="preserve">'s account to the </w:t>
      </w:r>
      <w:r w:rsidR="00C62551">
        <w:t>Provider</w:t>
      </w:r>
      <w:r>
        <w:t xml:space="preserve">'s account, which is published by the tax administration (tax office) in a manner allowing remote access within the meaning of </w:t>
      </w:r>
      <w:r w:rsidR="00F42EC6">
        <w:t xml:space="preserve">Article </w:t>
      </w:r>
      <w:r>
        <w:t>109(2)(c) of the VAT Act.</w:t>
      </w:r>
    </w:p>
    <w:p w14:paraId="00000076" w14:textId="2E8E75C1" w:rsidR="003F1A6D" w:rsidRDefault="00DB5D40">
      <w:pPr>
        <w:pStyle w:val="P68B1DB1-Normln4"/>
        <w:numPr>
          <w:ilvl w:val="1"/>
          <w:numId w:val="18"/>
        </w:numPr>
        <w:pBdr>
          <w:top w:val="nil"/>
          <w:left w:val="nil"/>
          <w:bottom w:val="nil"/>
          <w:right w:val="nil"/>
          <w:between w:val="nil"/>
        </w:pBdr>
        <w:tabs>
          <w:tab w:val="left" w:pos="426"/>
        </w:tabs>
        <w:spacing w:after="0" w:line="240" w:lineRule="auto"/>
        <w:ind w:left="426" w:hanging="426"/>
        <w:jc w:val="both"/>
      </w:pPr>
      <w:r>
        <w:t xml:space="preserve">If, during the period of validity of this contract, the Provider becomes an unreliable payer within the meaning of </w:t>
      </w:r>
      <w:r w:rsidR="00F42EC6">
        <w:t xml:space="preserve">Article </w:t>
      </w:r>
      <w:r>
        <w:t xml:space="preserve">109(3) of the VAT Act, the </w:t>
      </w:r>
      <w:r w:rsidR="00F42EC6">
        <w:t>C</w:t>
      </w:r>
      <w:r>
        <w:t xml:space="preserve">ontracting </w:t>
      </w:r>
      <w:r w:rsidR="00C40B92">
        <w:t>Parties</w:t>
      </w:r>
      <w:r>
        <w:t xml:space="preserve"> have agreed that the Customer shall pay the VAT for the taxable supply directly to the relevant tax administrator. The payment thus made by the </w:t>
      </w:r>
      <w:r w:rsidR="00C62551">
        <w:t>Costumer</w:t>
      </w:r>
      <w:r>
        <w:t xml:space="preserve"> is considered to be the payment of the relevant part of the contractual price equal to the amount of VAT invoiced by the Provider.</w:t>
      </w:r>
    </w:p>
    <w:p w14:paraId="00000077" w14:textId="2D140726" w:rsidR="003F1A6D" w:rsidRDefault="00DB5D40">
      <w:pPr>
        <w:pStyle w:val="P68B1DB1-Normln4"/>
        <w:numPr>
          <w:ilvl w:val="1"/>
          <w:numId w:val="18"/>
        </w:numPr>
        <w:pBdr>
          <w:top w:val="nil"/>
          <w:left w:val="nil"/>
          <w:bottom w:val="nil"/>
          <w:right w:val="nil"/>
          <w:between w:val="nil"/>
        </w:pBdr>
        <w:tabs>
          <w:tab w:val="left" w:pos="426"/>
        </w:tabs>
        <w:spacing w:after="0" w:line="240" w:lineRule="auto"/>
        <w:ind w:left="426" w:hanging="426"/>
        <w:jc w:val="both"/>
      </w:pPr>
      <w:r>
        <w:t xml:space="preserve">The Participants agree on the possibility of a unilateral price increase by the Provider during the provision of services, in the event of an increase in the statutory VAT rate. The increase in the agreed price must correspond to an increase in the value of VAT depending on the increase in the statutory rate of VAT. The Participants agree on the possibility of a unilateral price reduction by the Provider during the provision of services, in the event of a reduction in the statutory VAT rate. The reduction in the agreed price must correspond to a reduction in the value of VAT depending on the reduction in the statutory rate of VAT. The </w:t>
      </w:r>
      <w:r w:rsidR="00F42EC6">
        <w:t>C</w:t>
      </w:r>
      <w:r>
        <w:t xml:space="preserve">ontracting </w:t>
      </w:r>
      <w:r w:rsidR="00C40B92">
        <w:t>Parties</w:t>
      </w:r>
      <w:r>
        <w:t xml:space="preserve"> have agreed that in the event of a statutory change in the VAT rate, they will not conclude an amendment to this contract, but will be the invoiced price including the statutory VAT rate.</w:t>
      </w:r>
    </w:p>
    <w:p w14:paraId="00000078" w14:textId="746304CF" w:rsidR="003F1A6D" w:rsidRDefault="00DB5D40">
      <w:pPr>
        <w:pStyle w:val="P68B1DB1-Normln3"/>
        <w:numPr>
          <w:ilvl w:val="1"/>
          <w:numId w:val="18"/>
        </w:numPr>
        <w:pBdr>
          <w:top w:val="nil"/>
          <w:left w:val="nil"/>
          <w:bottom w:val="nil"/>
          <w:right w:val="nil"/>
          <w:between w:val="nil"/>
        </w:pBdr>
        <w:spacing w:after="0" w:line="240" w:lineRule="auto"/>
        <w:ind w:left="426" w:hanging="502"/>
        <w:jc w:val="both"/>
        <w:rPr>
          <w:color w:val="000000"/>
        </w:rPr>
      </w:pPr>
      <w:r>
        <w:rPr>
          <w:color w:val="000000"/>
        </w:rPr>
        <w:t xml:space="preserve">In accordance with </w:t>
      </w:r>
      <w:r w:rsidR="00F42EC6">
        <w:t xml:space="preserve">Article </w:t>
      </w:r>
      <w:r>
        <w:rPr>
          <w:color w:val="000000"/>
        </w:rPr>
        <w:t>100(1) of Act No 134/2016 on public procurement, as amended (‘the Public Procurement Act’), the customer reserves the right to change the price of the service as follows: The price will be annually increased or reduced by half the number of percentage points (</w:t>
      </w:r>
      <w:proofErr w:type="spellStart"/>
      <w:r>
        <w:rPr>
          <w:color w:val="000000"/>
        </w:rPr>
        <w:t>pps</w:t>
      </w:r>
      <w:proofErr w:type="spellEnd"/>
      <w:r>
        <w:rPr>
          <w:color w:val="000000"/>
        </w:rPr>
        <w:t>) by which the average gross monthly salary of ICT specialists (class and group CZ-ISCO – 25 ICT specialists) has changed on the anniversary of this contract,</w:t>
      </w:r>
      <w:r>
        <w:rPr>
          <w:b/>
          <w:color w:val="000000"/>
        </w:rPr>
        <w:t xml:space="preserve"> </w:t>
      </w:r>
      <w:r>
        <w:rPr>
          <w:color w:val="000000"/>
        </w:rPr>
        <w:t xml:space="preserve">resulting from the results of the ISPV survey (Information system on average earnings) published on https://www.ispv.cz/, or from the results of an investigation of a similar nature replacing these results if the results of the ISPV survey are not available. This change shall take place at the earliest in the first calendar year following the year in which this </w:t>
      </w:r>
      <w:r w:rsidR="00C62551">
        <w:rPr>
          <w:color w:val="000000"/>
        </w:rPr>
        <w:t>Contract</w:t>
      </w:r>
      <w:r>
        <w:rPr>
          <w:color w:val="000000"/>
        </w:rPr>
        <w:t xml:space="preserve"> enters into force. For example, if the year-on-year change in the average gross monthly wage is 105%, this means that the average gross monthly wage has been increased by 5 </w:t>
      </w:r>
      <w:proofErr w:type="spellStart"/>
      <w:r>
        <w:rPr>
          <w:color w:val="000000"/>
        </w:rPr>
        <w:t>pps</w:t>
      </w:r>
      <w:proofErr w:type="spellEnd"/>
      <w:r>
        <w:rPr>
          <w:color w:val="000000"/>
        </w:rPr>
        <w:t xml:space="preserve">, i.e. the price per hour of service in the Technical Support and Development category will be increased by 2.5 </w:t>
      </w:r>
      <w:proofErr w:type="spellStart"/>
      <w:r>
        <w:rPr>
          <w:color w:val="000000"/>
        </w:rPr>
        <w:t>pps</w:t>
      </w:r>
      <w:proofErr w:type="spellEnd"/>
      <w:r>
        <w:rPr>
          <w:color w:val="000000"/>
        </w:rPr>
        <w:t xml:space="preserve">. The price per hour of service in the Technical Support and Development category will always change on the first day of July of the relevant calendar year. The price for the ‘quarterly flat-rate service’ referred to in Article </w:t>
      </w:r>
      <w:r>
        <w:t>5(7)(</w:t>
      </w:r>
      <w:proofErr w:type="gramStart"/>
      <w:r>
        <w:t>b)</w:t>
      </w:r>
      <w:r>
        <w:rPr>
          <w:color w:val="000000"/>
        </w:rPr>
        <w:t>of</w:t>
      </w:r>
      <w:proofErr w:type="gramEnd"/>
      <w:r>
        <w:rPr>
          <w:color w:val="000000"/>
        </w:rPr>
        <w:t xml:space="preserve"> the contract may be amended in the same way.</w:t>
      </w:r>
    </w:p>
    <w:p w14:paraId="00000079" w14:textId="5ADA0490" w:rsidR="003F1A6D" w:rsidRDefault="00DB5D40">
      <w:pPr>
        <w:pStyle w:val="P68B1DB1-Normln3"/>
        <w:numPr>
          <w:ilvl w:val="1"/>
          <w:numId w:val="18"/>
        </w:numPr>
        <w:pBdr>
          <w:top w:val="nil"/>
          <w:left w:val="nil"/>
          <w:bottom w:val="nil"/>
          <w:right w:val="nil"/>
          <w:between w:val="nil"/>
        </w:pBdr>
        <w:tabs>
          <w:tab w:val="left" w:pos="426"/>
        </w:tabs>
        <w:spacing w:after="0" w:line="240" w:lineRule="auto"/>
        <w:ind w:left="426" w:hanging="502"/>
        <w:jc w:val="both"/>
      </w:pPr>
      <w:r>
        <w:t xml:space="preserve">In accordance with </w:t>
      </w:r>
      <w:r w:rsidR="00F42EC6">
        <w:t xml:space="preserve">Article </w:t>
      </w:r>
      <w:r>
        <w:t xml:space="preserve">100(1) of the </w:t>
      </w:r>
      <w:r w:rsidR="00F42EC6">
        <w:t>Public Procurement Act</w:t>
      </w:r>
      <w:r>
        <w:t xml:space="preserve">, the </w:t>
      </w:r>
      <w:r w:rsidR="00C62551">
        <w:t>Costumer</w:t>
      </w:r>
      <w:r>
        <w:t xml:space="preserve"> reserves the right to change the price set out in Article 5.7(b) of this </w:t>
      </w:r>
      <w:r w:rsidR="00C62551">
        <w:t>Contract</w:t>
      </w:r>
      <w:r>
        <w:t xml:space="preserve">, i.e. the flat-rate quarterly remuneration (quarterly flat-rate service) in the event that, on the basis of the Customer’s requirements in the category of technical support and development pursuant to Annex 1 and Article 2.5 of this </w:t>
      </w:r>
      <w:r w:rsidR="00C62551">
        <w:t>Contract</w:t>
      </w:r>
      <w:r>
        <w:t xml:space="preserve">, the functionality of the system is modified, including a change in the integration link following a change in the interface of another IS(REQ), the </w:t>
      </w:r>
      <w:r>
        <w:rPr>
          <w:b/>
        </w:rPr>
        <w:t xml:space="preserve">IS </w:t>
      </w:r>
      <w:proofErr w:type="spellStart"/>
      <w:r>
        <w:rPr>
          <w:b/>
        </w:rPr>
        <w:t>is</w:t>
      </w:r>
      <w:proofErr w:type="spellEnd"/>
      <w:r>
        <w:rPr>
          <w:b/>
        </w:rPr>
        <w:t xml:space="preserve"> extended</w:t>
      </w:r>
      <w:r>
        <w:t xml:space="preserve">. In such a case, the price of the quarterly flat-rate service pursuant to Article 5.7(b) of this </w:t>
      </w:r>
      <w:r w:rsidR="00C62551">
        <w:t>Contract</w:t>
      </w:r>
      <w:r>
        <w:t xml:space="preserve"> shall be increased for each such change </w:t>
      </w:r>
      <w:r w:rsidRPr="00DF44BF">
        <w:rPr>
          <w:b/>
        </w:rPr>
        <w:t xml:space="preserve">by an amount corresponding to </w:t>
      </w:r>
      <w:r>
        <w:rPr>
          <w:b/>
          <w:highlight w:val="lightGray"/>
        </w:rPr>
        <w:t xml:space="preserve">[% to be added according to the </w:t>
      </w:r>
      <w:r w:rsidR="00C62551">
        <w:rPr>
          <w:b/>
          <w:highlight w:val="lightGray"/>
        </w:rPr>
        <w:t>tender</w:t>
      </w:r>
      <w:r>
        <w:rPr>
          <w:b/>
        </w:rPr>
        <w:t>]</w:t>
      </w:r>
      <w:r>
        <w:t xml:space="preserve"> of the REQ price of the request agreed in writing by the contracting </w:t>
      </w:r>
      <w:r w:rsidR="00C40B92">
        <w:t>Parties</w:t>
      </w:r>
      <w:r>
        <w:t xml:space="preserve"> pursuant to Article 2.5 and Annex No. 1 of this </w:t>
      </w:r>
      <w:r w:rsidR="00C62551">
        <w:t>Contract</w:t>
      </w:r>
      <w:r>
        <w:t>.</w:t>
      </w:r>
    </w:p>
    <w:p w14:paraId="0000007A" w14:textId="77777777" w:rsidR="003F1A6D" w:rsidRDefault="003F1A6D">
      <w:pPr>
        <w:pBdr>
          <w:top w:val="nil"/>
          <w:left w:val="nil"/>
          <w:bottom w:val="nil"/>
          <w:right w:val="nil"/>
          <w:between w:val="nil"/>
        </w:pBdr>
        <w:spacing w:after="0" w:line="240" w:lineRule="auto"/>
        <w:ind w:left="709" w:hanging="709"/>
        <w:jc w:val="both"/>
        <w:rPr>
          <w:rFonts w:ascii="Arial" w:eastAsia="Arial" w:hAnsi="Arial" w:cs="Arial"/>
          <w:b/>
          <w:bCs/>
          <w:i/>
          <w:iCs/>
          <w:color w:val="000000"/>
        </w:rPr>
      </w:pPr>
    </w:p>
    <w:p w14:paraId="0000007B" w14:textId="77777777" w:rsidR="003F1A6D" w:rsidRDefault="00DB5D40">
      <w:pPr>
        <w:pStyle w:val="P68B1DB1-Normln2"/>
        <w:numPr>
          <w:ilvl w:val="0"/>
          <w:numId w:val="7"/>
        </w:numPr>
        <w:spacing w:after="0" w:line="240" w:lineRule="auto"/>
        <w:ind w:hanging="720"/>
        <w:jc w:val="both"/>
        <w:rPr>
          <w:bCs/>
        </w:rPr>
      </w:pPr>
      <w:r>
        <w:t>Contractual penalties</w:t>
      </w:r>
    </w:p>
    <w:p w14:paraId="0000007C" w14:textId="1AE6A60C" w:rsidR="003F1A6D" w:rsidRDefault="00DB5D40">
      <w:pPr>
        <w:pStyle w:val="P68B1DB1-Normln3"/>
        <w:numPr>
          <w:ilvl w:val="1"/>
          <w:numId w:val="21"/>
        </w:numPr>
        <w:spacing w:after="0" w:line="240" w:lineRule="auto"/>
        <w:jc w:val="both"/>
      </w:pPr>
      <w:r>
        <w:t xml:space="preserve">The Provider shall be liable for all damages and non-material damages incurred by the </w:t>
      </w:r>
      <w:r w:rsidR="00C62551">
        <w:t>Costumer</w:t>
      </w:r>
      <w:r>
        <w:t xml:space="preserve"> as a result of the Provider's breach of this </w:t>
      </w:r>
      <w:r w:rsidR="00C62551">
        <w:t>Contract</w:t>
      </w:r>
      <w:r>
        <w:t xml:space="preserve">. The Provider is obliged to compensate for such damage and non-material damage in full, including any penalties imposed on the </w:t>
      </w:r>
      <w:r w:rsidR="00C62551">
        <w:t>Costumer</w:t>
      </w:r>
      <w:r>
        <w:t xml:space="preserve"> by public authorities, which were caused by a breach of the Provider's obligations under this </w:t>
      </w:r>
      <w:r w:rsidR="00C62551">
        <w:t>Contract</w:t>
      </w:r>
      <w:r>
        <w:t>.</w:t>
      </w:r>
    </w:p>
    <w:p w14:paraId="0000007D" w14:textId="5CB145B5" w:rsidR="003F1A6D" w:rsidRDefault="00DB5D40">
      <w:pPr>
        <w:pStyle w:val="P68B1DB1-Normln3"/>
        <w:numPr>
          <w:ilvl w:val="1"/>
          <w:numId w:val="21"/>
        </w:numPr>
        <w:spacing w:after="0" w:line="240" w:lineRule="auto"/>
        <w:jc w:val="both"/>
      </w:pPr>
      <w:r>
        <w:t xml:space="preserve">If the </w:t>
      </w:r>
      <w:r w:rsidR="00C62551">
        <w:t>Costumer</w:t>
      </w:r>
      <w:r>
        <w:t xml:space="preserve"> is in delay with the payment of the payment for the services provided under this </w:t>
      </w:r>
      <w:r w:rsidR="00C62551">
        <w:t>Contract</w:t>
      </w:r>
      <w:r>
        <w:t>, he is obliged to pay the Provider default interest in the amount of 0.05% of the amount due for each day of delay.</w:t>
      </w:r>
    </w:p>
    <w:p w14:paraId="0000007E" w14:textId="0CE6F68E" w:rsidR="003F1A6D" w:rsidRDefault="00DB5D40">
      <w:pPr>
        <w:pStyle w:val="P68B1DB1-Normln3"/>
        <w:numPr>
          <w:ilvl w:val="1"/>
          <w:numId w:val="21"/>
        </w:numPr>
        <w:spacing w:after="0" w:line="240" w:lineRule="auto"/>
        <w:jc w:val="both"/>
      </w:pPr>
      <w:r>
        <w:t xml:space="preserve">If the availability of the IS falls below the value pursuant to Article 1.7 of this </w:t>
      </w:r>
      <w:r w:rsidR="00C62551">
        <w:t>Contract</w:t>
      </w:r>
      <w:r>
        <w:t xml:space="preserve">, the Provider is obliged to pay the </w:t>
      </w:r>
      <w:r w:rsidR="00C62551">
        <w:t>Costumer</w:t>
      </w:r>
      <w:r>
        <w:t xml:space="preserve"> a contractual penalty in the amount of:</w:t>
      </w:r>
    </w:p>
    <w:p w14:paraId="0000007F" w14:textId="78EDF4BB" w:rsidR="003F1A6D" w:rsidRDefault="00DB5D40">
      <w:pPr>
        <w:pStyle w:val="P68B1DB1-Normln3"/>
        <w:numPr>
          <w:ilvl w:val="2"/>
          <w:numId w:val="14"/>
        </w:numPr>
        <w:spacing w:after="0" w:line="240" w:lineRule="auto"/>
        <w:ind w:hanging="294"/>
        <w:jc w:val="both"/>
      </w:pPr>
      <w:r>
        <w:t>CZK 20</w:t>
      </w:r>
      <w:r w:rsidR="00F42EC6">
        <w:t xml:space="preserve"> </w:t>
      </w:r>
      <w:r>
        <w:t xml:space="preserve">000 for each calendar month in which the availability of IS does not reach the value referred to in Article 1.7 of this </w:t>
      </w:r>
      <w:r w:rsidR="00C62551">
        <w:t>Contract</w:t>
      </w:r>
      <w:r>
        <w:t>, but reaches a value of at least 99.5%;</w:t>
      </w:r>
    </w:p>
    <w:p w14:paraId="00000080" w14:textId="5BD2A3C4" w:rsidR="003F1A6D" w:rsidRDefault="00DB5D40">
      <w:pPr>
        <w:pStyle w:val="P68B1DB1-Normln3"/>
        <w:numPr>
          <w:ilvl w:val="2"/>
          <w:numId w:val="14"/>
        </w:numPr>
        <w:spacing w:after="0" w:line="240" w:lineRule="auto"/>
        <w:ind w:hanging="294"/>
        <w:jc w:val="both"/>
      </w:pPr>
      <w:r>
        <w:t>CZK 50</w:t>
      </w:r>
      <w:r w:rsidR="00F42EC6">
        <w:t xml:space="preserve"> </w:t>
      </w:r>
      <w:r>
        <w:t>000 for each calendar month in which IS availability does not reach 99.5%, but reaches at least 99%;</w:t>
      </w:r>
    </w:p>
    <w:p w14:paraId="00000081" w14:textId="3AE17D88" w:rsidR="003F1A6D" w:rsidRDefault="00DB5D40">
      <w:pPr>
        <w:pStyle w:val="P68B1DB1-Normln3"/>
        <w:numPr>
          <w:ilvl w:val="2"/>
          <w:numId w:val="14"/>
        </w:numPr>
        <w:spacing w:after="0" w:line="240" w:lineRule="auto"/>
        <w:ind w:hanging="294"/>
        <w:jc w:val="both"/>
      </w:pPr>
      <w:r>
        <w:t>CZK 100</w:t>
      </w:r>
      <w:r w:rsidR="00F42EC6">
        <w:t xml:space="preserve"> </w:t>
      </w:r>
      <w:r>
        <w:t>000 for each calendar month in which IS availability does not reach the value of 99%, but reaches the value of at least 98.5%;</w:t>
      </w:r>
    </w:p>
    <w:p w14:paraId="00000082" w14:textId="77999063" w:rsidR="003F1A6D" w:rsidRDefault="00DB5D40">
      <w:pPr>
        <w:pStyle w:val="P68B1DB1-Normln3"/>
        <w:numPr>
          <w:ilvl w:val="2"/>
          <w:numId w:val="14"/>
        </w:numPr>
        <w:spacing w:after="0" w:line="240" w:lineRule="auto"/>
        <w:ind w:hanging="294"/>
        <w:jc w:val="both"/>
      </w:pPr>
      <w:r>
        <w:t>CZK 200</w:t>
      </w:r>
      <w:r w:rsidR="00F42EC6">
        <w:t xml:space="preserve"> </w:t>
      </w:r>
      <w:r>
        <w:t>000 for each calendar month in which IS availability does not reach the value of 98.5%, but reaches the value of at least 98%;</w:t>
      </w:r>
    </w:p>
    <w:p w14:paraId="00000083" w14:textId="594518D4" w:rsidR="003F1A6D" w:rsidRDefault="00DB5D40">
      <w:pPr>
        <w:pStyle w:val="P68B1DB1-Normln3"/>
        <w:numPr>
          <w:ilvl w:val="2"/>
          <w:numId w:val="14"/>
        </w:numPr>
        <w:spacing w:after="0" w:line="240" w:lineRule="auto"/>
        <w:ind w:hanging="294"/>
        <w:jc w:val="both"/>
      </w:pPr>
      <w:r>
        <w:t>CZK 300</w:t>
      </w:r>
      <w:r w:rsidR="00F42EC6">
        <w:t xml:space="preserve"> </w:t>
      </w:r>
      <w:r>
        <w:t>000 for each calendar month in which IS availability does not reach 97.5%.</w:t>
      </w:r>
    </w:p>
    <w:p w14:paraId="00000084" w14:textId="4963F8F1" w:rsidR="003F1A6D" w:rsidRDefault="00DB5D40">
      <w:pPr>
        <w:pStyle w:val="P68B1DB1-Normln3"/>
        <w:numPr>
          <w:ilvl w:val="1"/>
          <w:numId w:val="21"/>
        </w:numPr>
        <w:spacing w:after="0" w:line="240" w:lineRule="auto"/>
        <w:jc w:val="both"/>
      </w:pPr>
      <w:r>
        <w:t xml:space="preserve">If the Provider is in delay with the reaction time to a category A, B or C incident during the provision of category 1 incident handling services pursuant to Annex 1 to this Contract, the Provider is obliged to pay the </w:t>
      </w:r>
      <w:r w:rsidR="00C62551">
        <w:t>Costumer</w:t>
      </w:r>
      <w:r>
        <w:t xml:space="preserve"> a contractual penalty in the amount of CZK 5</w:t>
      </w:r>
      <w:r w:rsidR="00F42EC6">
        <w:t xml:space="preserve"> </w:t>
      </w:r>
      <w:r>
        <w:t>000 for each commenced hour of delay for category A or B, respectively, commenced day for the cat. C.</w:t>
      </w:r>
    </w:p>
    <w:p w14:paraId="00000085" w14:textId="78E5DC36" w:rsidR="003F1A6D" w:rsidRDefault="00DB5D40">
      <w:pPr>
        <w:pStyle w:val="P68B1DB1-Normln3"/>
        <w:numPr>
          <w:ilvl w:val="1"/>
          <w:numId w:val="21"/>
        </w:numPr>
        <w:spacing w:after="0" w:line="240" w:lineRule="auto"/>
        <w:jc w:val="both"/>
      </w:pPr>
      <w:r>
        <w:t xml:space="preserve">If the Provider violates the obligation to resolve a category A, B or C incident at the time of resolution according to Annex 1 to this Contract when providing service services of category level 1 incident resolution according to Annex 1 to this Contract, the Provider is obliged to pay the </w:t>
      </w:r>
      <w:r w:rsidR="00C62551">
        <w:t>Costumer</w:t>
      </w:r>
      <w:r>
        <w:t xml:space="preserve"> a contractual penalty in the amount of CZK 50</w:t>
      </w:r>
      <w:r w:rsidR="00F42EC6">
        <w:t xml:space="preserve"> </w:t>
      </w:r>
      <w:r>
        <w:t>000 for each commenced hour of delay for category A or B or commenced day for incident cat. C.</w:t>
      </w:r>
    </w:p>
    <w:p w14:paraId="00000086" w14:textId="127CAB76" w:rsidR="003F1A6D" w:rsidRDefault="00DB5D40">
      <w:pPr>
        <w:pStyle w:val="P68B1DB1-Normln3"/>
        <w:numPr>
          <w:ilvl w:val="1"/>
          <w:numId w:val="21"/>
        </w:numPr>
        <w:spacing w:after="0" w:line="240" w:lineRule="auto"/>
        <w:jc w:val="both"/>
      </w:pPr>
      <w:r>
        <w:t xml:space="preserve">If the Provider is in delay with the reaction time to the request in the provision of technical support and development services according to Annex 1 to this </w:t>
      </w:r>
      <w:r w:rsidR="00C62551">
        <w:t>Contract</w:t>
      </w:r>
      <w:r>
        <w:t xml:space="preserve">, the Provider is obliged to pay the </w:t>
      </w:r>
      <w:r w:rsidR="00C62551">
        <w:t>Costumer</w:t>
      </w:r>
      <w:r>
        <w:t xml:space="preserve"> a contractual penalty of CZK 5</w:t>
      </w:r>
      <w:r w:rsidR="00F42EC6">
        <w:t xml:space="preserve"> </w:t>
      </w:r>
      <w:r>
        <w:t>000 for each commenced day of delay.</w:t>
      </w:r>
    </w:p>
    <w:p w14:paraId="00000087" w14:textId="1A775D72" w:rsidR="003F1A6D" w:rsidRDefault="00DB5D40">
      <w:pPr>
        <w:pStyle w:val="P68B1DB1-Normln3"/>
        <w:numPr>
          <w:ilvl w:val="1"/>
          <w:numId w:val="21"/>
        </w:numPr>
        <w:spacing w:after="0" w:line="240" w:lineRule="auto"/>
        <w:jc w:val="both"/>
      </w:pPr>
      <w:r>
        <w:t xml:space="preserve">If the Provider violates the obligation at the time of resolution according to Annex No. 1 to this </w:t>
      </w:r>
      <w:r w:rsidR="00C62551">
        <w:t>Contract</w:t>
      </w:r>
      <w:r>
        <w:t xml:space="preserve"> to resolve the requirement in the provision of technical support and development services according to Annex No. 1 to this </w:t>
      </w:r>
      <w:r w:rsidR="00C62551">
        <w:t>Contract</w:t>
      </w:r>
      <w:r>
        <w:t xml:space="preserve">, the Provider is obliged to pay the </w:t>
      </w:r>
      <w:r w:rsidR="00C62551">
        <w:t>Costumer</w:t>
      </w:r>
      <w:r>
        <w:t xml:space="preserve"> a contractual penalty of CZK 50</w:t>
      </w:r>
      <w:r w:rsidR="00F42EC6">
        <w:t xml:space="preserve"> </w:t>
      </w:r>
      <w:r>
        <w:t xml:space="preserve">000 for each commenced day of delay. The Provider is obliged to pay the contractual penalty under this paragraph only if the </w:t>
      </w:r>
      <w:r w:rsidR="00C62551">
        <w:t>Costumer</w:t>
      </w:r>
      <w:r>
        <w:t>'s request was technologically feasible.</w:t>
      </w:r>
    </w:p>
    <w:p w14:paraId="00000088" w14:textId="4AD66863" w:rsidR="003F1A6D" w:rsidRDefault="00DB5D40">
      <w:pPr>
        <w:pStyle w:val="P68B1DB1-Normln3"/>
        <w:numPr>
          <w:ilvl w:val="1"/>
          <w:numId w:val="21"/>
        </w:numPr>
        <w:spacing w:after="0" w:line="240" w:lineRule="auto"/>
        <w:jc w:val="both"/>
      </w:pPr>
      <w:r>
        <w:t xml:space="preserve">The provisions on contractual penalties are without prejudice to the Customer's right to compensation for damage or non-material damage. The </w:t>
      </w:r>
      <w:r w:rsidR="00C40B92">
        <w:t>Parties</w:t>
      </w:r>
      <w:r>
        <w:t xml:space="preserve"> have expressly agreed that the </w:t>
      </w:r>
      <w:r w:rsidR="00C62551">
        <w:t>Costumer</w:t>
      </w:r>
      <w:r>
        <w:t xml:space="preserve"> is entitled, in addition to contractual penalties, to demand from the Provider full compensation for damage and non-material damage caused by a breach of an obligation to which the contractual penalty applies.</w:t>
      </w:r>
    </w:p>
    <w:p w14:paraId="00000089" w14:textId="63F0F51B" w:rsidR="003F1A6D" w:rsidRDefault="00DB5D40">
      <w:pPr>
        <w:pStyle w:val="P68B1DB1-Normln3"/>
        <w:numPr>
          <w:ilvl w:val="1"/>
          <w:numId w:val="21"/>
        </w:numPr>
        <w:spacing w:after="0" w:line="240" w:lineRule="auto"/>
        <w:jc w:val="both"/>
      </w:pPr>
      <w:r>
        <w:t xml:space="preserve">In the event that the </w:t>
      </w:r>
      <w:r w:rsidR="00C62551">
        <w:t>Costumer</w:t>
      </w:r>
      <w:r>
        <w:t xml:space="preserve"> is entitled to a contractual penalty under this </w:t>
      </w:r>
      <w:r w:rsidR="00C62551">
        <w:t>Contract</w:t>
      </w:r>
      <w:r>
        <w:t xml:space="preserve"> against the Provider, the </w:t>
      </w:r>
      <w:r w:rsidR="00C62551">
        <w:t>Costumer</w:t>
      </w:r>
      <w:r>
        <w:t xml:space="preserve"> is entitled to set off the claim under the contractual penalty against the Provider's claim for payment of the invoice issued by the </w:t>
      </w:r>
      <w:r w:rsidR="00C62551">
        <w:t>Costumer</w:t>
      </w:r>
      <w:r>
        <w:t>. The sum of all contractual penalties applied in a given month shall not exceed the monthly price of the service.</w:t>
      </w:r>
    </w:p>
    <w:p w14:paraId="0000008A" w14:textId="2E5D1BD6" w:rsidR="003F1A6D" w:rsidRDefault="00DB5D40">
      <w:pPr>
        <w:pStyle w:val="P68B1DB1-Normln3"/>
        <w:numPr>
          <w:ilvl w:val="1"/>
          <w:numId w:val="21"/>
        </w:numPr>
        <w:spacing w:after="0" w:line="240" w:lineRule="auto"/>
        <w:ind w:left="284" w:hanging="284"/>
        <w:jc w:val="both"/>
      </w:pPr>
      <w:r>
        <w:lastRenderedPageBreak/>
        <w:t xml:space="preserve">The contractual penalty shall be paid by the Provider within 30 days of the demonstrable delivery of the request for payment of the contractual penalty by the </w:t>
      </w:r>
      <w:r w:rsidR="00C62551">
        <w:t>Costumer</w:t>
      </w:r>
      <w:r>
        <w:t xml:space="preserve">. </w:t>
      </w:r>
    </w:p>
    <w:p w14:paraId="0000008B" w14:textId="1E68D12A" w:rsidR="003F1A6D" w:rsidRDefault="00DB5D40">
      <w:pPr>
        <w:pStyle w:val="P68B1DB1-Normln3"/>
        <w:numPr>
          <w:ilvl w:val="1"/>
          <w:numId w:val="21"/>
        </w:numPr>
        <w:spacing w:after="0" w:line="240" w:lineRule="auto"/>
        <w:ind w:left="284" w:hanging="284"/>
        <w:jc w:val="both"/>
      </w:pPr>
      <w:r>
        <w:t xml:space="preserve">For failure to comply with any of the obligations contained in Annex 2 to this </w:t>
      </w:r>
      <w:r w:rsidR="00C62551">
        <w:t>Contract</w:t>
      </w:r>
      <w:r>
        <w:t xml:space="preserve">, the </w:t>
      </w:r>
      <w:r w:rsidR="00C62551">
        <w:t>Costumer</w:t>
      </w:r>
      <w:r>
        <w:t xml:space="preserve"> is entitled to charge the Provider a contractual penalty of CZK 100 000 for each individual breach of the obligations contained in the above-mentioned Annex. </w:t>
      </w:r>
    </w:p>
    <w:p w14:paraId="0000008C" w14:textId="77777777" w:rsidR="003F1A6D" w:rsidRDefault="003F1A6D">
      <w:pPr>
        <w:pBdr>
          <w:top w:val="nil"/>
          <w:left w:val="nil"/>
          <w:bottom w:val="nil"/>
          <w:right w:val="nil"/>
          <w:between w:val="nil"/>
        </w:pBdr>
        <w:spacing w:after="0" w:line="240" w:lineRule="auto"/>
        <w:ind w:left="709"/>
        <w:jc w:val="both"/>
        <w:rPr>
          <w:rFonts w:ascii="Arial" w:eastAsia="Arial" w:hAnsi="Arial" w:cs="Arial"/>
          <w:color w:val="000000"/>
        </w:rPr>
      </w:pPr>
    </w:p>
    <w:p w14:paraId="0000008D" w14:textId="77777777" w:rsidR="003F1A6D" w:rsidRDefault="00DB5D40">
      <w:pPr>
        <w:pStyle w:val="P68B1DB1-Normln2"/>
        <w:numPr>
          <w:ilvl w:val="0"/>
          <w:numId w:val="7"/>
        </w:numPr>
        <w:spacing w:after="0" w:line="240" w:lineRule="auto"/>
        <w:ind w:hanging="720"/>
        <w:jc w:val="both"/>
        <w:rPr>
          <w:bCs/>
        </w:rPr>
      </w:pPr>
      <w:r>
        <w:t>Duration and termination of the contract</w:t>
      </w:r>
    </w:p>
    <w:p w14:paraId="0000008E" w14:textId="77777777" w:rsidR="003F1A6D" w:rsidRDefault="00DB5D40">
      <w:pPr>
        <w:pStyle w:val="P68B1DB1-Normln3"/>
        <w:numPr>
          <w:ilvl w:val="1"/>
          <w:numId w:val="5"/>
        </w:numPr>
        <w:spacing w:after="0" w:line="240" w:lineRule="auto"/>
        <w:jc w:val="both"/>
      </w:pPr>
      <w:r>
        <w:t>This contract is concluded for an indefinite period.</w:t>
      </w:r>
    </w:p>
    <w:p w14:paraId="0000008F" w14:textId="1E6F82F8" w:rsidR="003F1A6D" w:rsidRDefault="00DB5D40">
      <w:pPr>
        <w:pStyle w:val="P68B1DB1-Normln3"/>
        <w:numPr>
          <w:ilvl w:val="1"/>
          <w:numId w:val="5"/>
        </w:numPr>
        <w:spacing w:after="0" w:line="240" w:lineRule="auto"/>
        <w:jc w:val="both"/>
      </w:pPr>
      <w:r>
        <w:t xml:space="preserve">The Customer is entitled (except in the cases specified in </w:t>
      </w:r>
      <w:r w:rsidR="000C12B1">
        <w:t xml:space="preserve">Article </w:t>
      </w:r>
      <w:r>
        <w:t>2001 of the Civil Code) to withdraw from this contract in writing:</w:t>
      </w:r>
    </w:p>
    <w:p w14:paraId="00000090" w14:textId="77777777" w:rsidR="003F1A6D" w:rsidRDefault="00DB5D40">
      <w:pPr>
        <w:pStyle w:val="P68B1DB1-Normln3"/>
        <w:numPr>
          <w:ilvl w:val="2"/>
          <w:numId w:val="6"/>
        </w:numPr>
        <w:spacing w:after="0" w:line="240" w:lineRule="auto"/>
        <w:ind w:hanging="294"/>
        <w:jc w:val="both"/>
      </w:pPr>
      <w:r>
        <w:t>if the Provider's bankruptcy has been finally established and the method of resolving the bankruptcy by bankruptcy has been decided, or if the insolvency petition has been finally rejected for lack of assets of the Provider;</w:t>
      </w:r>
    </w:p>
    <w:p w14:paraId="00000091" w14:textId="7E4CB601" w:rsidR="003F1A6D" w:rsidRDefault="00DB5D40">
      <w:pPr>
        <w:pStyle w:val="P68B1DB1-Normln3"/>
        <w:numPr>
          <w:ilvl w:val="2"/>
          <w:numId w:val="6"/>
        </w:numPr>
        <w:spacing w:after="0" w:line="240" w:lineRule="auto"/>
        <w:ind w:hanging="294"/>
        <w:jc w:val="both"/>
      </w:pPr>
      <w:r>
        <w:t xml:space="preserve">if the Provider fails to resolve an incident of the </w:t>
      </w:r>
      <w:r w:rsidR="00C62551">
        <w:t>Costumer</w:t>
      </w:r>
      <w:r>
        <w:t xml:space="preserve"> that prevents the </w:t>
      </w:r>
      <w:r w:rsidR="00C62551">
        <w:t>Costumer</w:t>
      </w:r>
      <w:r>
        <w:t xml:space="preserve"> from making proper use of the IS, even within an additional period specified by the </w:t>
      </w:r>
      <w:r w:rsidR="00C62551">
        <w:t>Costumer</w:t>
      </w:r>
      <w:r>
        <w:t xml:space="preserve"> after the Provider has been notified of this incident at least twice.</w:t>
      </w:r>
    </w:p>
    <w:p w14:paraId="00000092" w14:textId="3700383D" w:rsidR="003F1A6D" w:rsidRDefault="00DB5D40">
      <w:pPr>
        <w:pStyle w:val="P68B1DB1-Normln3"/>
        <w:numPr>
          <w:ilvl w:val="1"/>
          <w:numId w:val="5"/>
        </w:numPr>
        <w:spacing w:after="0" w:line="240" w:lineRule="auto"/>
        <w:jc w:val="both"/>
      </w:pPr>
      <w:r>
        <w:t xml:space="preserve">The withdrawal from the contract does not affect, among other things, the provisions on the liability of the Provider and the penalties that bind the </w:t>
      </w:r>
      <w:r w:rsidR="00C40B92">
        <w:t>Parties</w:t>
      </w:r>
      <w:r>
        <w:t xml:space="preserve"> even after the withdrawal from this contract. </w:t>
      </w:r>
    </w:p>
    <w:p w14:paraId="00000093" w14:textId="44AD00E4" w:rsidR="003F1A6D" w:rsidRDefault="00DB5D40">
      <w:pPr>
        <w:pStyle w:val="P68B1DB1-Normln3"/>
        <w:numPr>
          <w:ilvl w:val="1"/>
          <w:numId w:val="5"/>
        </w:numPr>
        <w:spacing w:after="0" w:line="240" w:lineRule="auto"/>
        <w:jc w:val="both"/>
      </w:pPr>
      <w:r>
        <w:t xml:space="preserve">In the event of termination of this contract for legal reasons, a 6-month notice period shall apply, which shall begin on the first day of the following quarter after the demonstrable written delivery of the notice of termination to the other party. During the notice period, the Provider is obliged to continue to provide service until the last day of the notice period, with the understanding that all incidents and requirements reported by the </w:t>
      </w:r>
      <w:r w:rsidR="00C62551">
        <w:t>Costumer</w:t>
      </w:r>
      <w:r>
        <w:t xml:space="preserve"> pursuant to Article 2 of this </w:t>
      </w:r>
      <w:r w:rsidR="00C62551">
        <w:t>Contract</w:t>
      </w:r>
      <w:r>
        <w:t xml:space="preserve"> until the end of the notice period are to be resolved, even after the termination of the notice period, in accordance with this </w:t>
      </w:r>
      <w:r w:rsidR="00C62551">
        <w:t>Contract</w:t>
      </w:r>
      <w:r>
        <w:t xml:space="preserve">. </w:t>
      </w:r>
    </w:p>
    <w:p w14:paraId="00000094" w14:textId="67859600" w:rsidR="003F1A6D" w:rsidRDefault="00DB5D40">
      <w:pPr>
        <w:pStyle w:val="P68B1DB1-Normln3"/>
        <w:numPr>
          <w:ilvl w:val="1"/>
          <w:numId w:val="5"/>
        </w:numPr>
        <w:spacing w:after="0" w:line="240" w:lineRule="auto"/>
        <w:jc w:val="both"/>
      </w:pPr>
      <w:r>
        <w:t xml:space="preserve">In the event of termination of the contract, the Provider is obliged to perform the services under the contract and the </w:t>
      </w:r>
      <w:r w:rsidR="00C62551">
        <w:t>Costumer</w:t>
      </w:r>
      <w:r>
        <w:t xml:space="preserve"> shall pay the price for the services in such a way that the price according to Article 5.7(b) "quarterly flat-rate service" will be paid by the </w:t>
      </w:r>
      <w:r w:rsidR="00C62551">
        <w:t>Costumer</w:t>
      </w:r>
      <w:r>
        <w:t xml:space="preserve"> until the last quarter in which the notice period ends, the price according to Article 5.7(a) for all duly billed hours of service in the category "Technical support and development" performed in accordance with Article 7.4 of the contract. </w:t>
      </w:r>
    </w:p>
    <w:p w14:paraId="00000095" w14:textId="6B7ACF66" w:rsidR="003F1A6D" w:rsidRDefault="00DB5D40">
      <w:pPr>
        <w:pStyle w:val="P68B1DB1-Normln3"/>
        <w:numPr>
          <w:ilvl w:val="1"/>
          <w:numId w:val="5"/>
        </w:numPr>
        <w:spacing w:after="0" w:line="240" w:lineRule="auto"/>
        <w:jc w:val="both"/>
      </w:pPr>
      <w:r>
        <w:t xml:space="preserve">In the event of termination of this </w:t>
      </w:r>
      <w:r w:rsidR="00C62551">
        <w:t>Contract</w:t>
      </w:r>
      <w:r>
        <w:t xml:space="preserve">, the Provider is obliged to provide the </w:t>
      </w:r>
      <w:r w:rsidR="00C62551">
        <w:t>Costumer</w:t>
      </w:r>
      <w:r>
        <w:t xml:space="preserve"> with all data that the Provider may hold in connection with the performance of this </w:t>
      </w:r>
      <w:r w:rsidR="00C62551">
        <w:t>Contract</w:t>
      </w:r>
      <w:r>
        <w:t xml:space="preserve">, at the latest on the date of termination of the notice period. Such data shall be irretrievably deleted by the Provider after transmission. </w:t>
      </w:r>
    </w:p>
    <w:p w14:paraId="00000096" w14:textId="77777777" w:rsidR="003F1A6D" w:rsidRDefault="003F1A6D">
      <w:pPr>
        <w:spacing w:after="0" w:line="240" w:lineRule="auto"/>
        <w:jc w:val="both"/>
        <w:rPr>
          <w:rFonts w:ascii="Arial" w:eastAsia="Arial" w:hAnsi="Arial" w:cs="Arial"/>
          <w:b/>
          <w:bCs/>
          <w:i/>
          <w:iCs/>
        </w:rPr>
      </w:pPr>
    </w:p>
    <w:p w14:paraId="00000097" w14:textId="77777777" w:rsidR="003F1A6D" w:rsidRDefault="00DB5D40">
      <w:pPr>
        <w:pStyle w:val="P68B1DB1-Normln2"/>
        <w:numPr>
          <w:ilvl w:val="0"/>
          <w:numId w:val="7"/>
        </w:numPr>
        <w:spacing w:after="0" w:line="240" w:lineRule="auto"/>
        <w:ind w:hanging="720"/>
        <w:jc w:val="both"/>
        <w:rPr>
          <w:bCs/>
        </w:rPr>
      </w:pPr>
      <w:r>
        <w:t>Final provisions</w:t>
      </w:r>
    </w:p>
    <w:p w14:paraId="00000098" w14:textId="24399B55" w:rsidR="003F1A6D" w:rsidRDefault="00DB5D40">
      <w:pPr>
        <w:pStyle w:val="P68B1DB1-Normln3"/>
        <w:numPr>
          <w:ilvl w:val="1"/>
          <w:numId w:val="22"/>
        </w:numPr>
        <w:spacing w:after="0" w:line="240" w:lineRule="auto"/>
        <w:ind w:left="426" w:hanging="426"/>
        <w:jc w:val="both"/>
      </w:pPr>
      <w:r>
        <w:t xml:space="preserve">This </w:t>
      </w:r>
      <w:r w:rsidR="00C62551">
        <w:t>Contract</w:t>
      </w:r>
      <w:r>
        <w:t xml:space="preserve"> is governed by the laws of the Czech Republic, in particular the relevant provisions of the Civil Code. </w:t>
      </w:r>
    </w:p>
    <w:p w14:paraId="00000099" w14:textId="1E7A5554" w:rsidR="003F1A6D" w:rsidRDefault="00DB5D40">
      <w:pPr>
        <w:pStyle w:val="P68B1DB1-Normln3"/>
        <w:numPr>
          <w:ilvl w:val="1"/>
          <w:numId w:val="22"/>
        </w:numPr>
        <w:spacing w:after="0" w:line="240" w:lineRule="auto"/>
        <w:ind w:left="426" w:hanging="426"/>
        <w:jc w:val="both"/>
      </w:pPr>
      <w:r>
        <w:t xml:space="preserve">This contract constitutes the entire </w:t>
      </w:r>
      <w:r w:rsidR="00C62551">
        <w:t>Contract</w:t>
      </w:r>
      <w:r>
        <w:t xml:space="preserve"> of the </w:t>
      </w:r>
      <w:r w:rsidR="00C40B92">
        <w:t>Parties</w:t>
      </w:r>
      <w:r>
        <w:t xml:space="preserve"> on the subject matter of this contract. </w:t>
      </w:r>
    </w:p>
    <w:p w14:paraId="0000009A" w14:textId="562830D6" w:rsidR="003F1A6D" w:rsidRDefault="00DB5D40">
      <w:pPr>
        <w:pStyle w:val="P68B1DB1-Normln3"/>
        <w:numPr>
          <w:ilvl w:val="1"/>
          <w:numId w:val="22"/>
        </w:numPr>
        <w:spacing w:after="0" w:line="240" w:lineRule="auto"/>
        <w:ind w:left="426" w:hanging="426"/>
        <w:jc w:val="both"/>
      </w:pPr>
      <w:r>
        <w:t xml:space="preserve">This </w:t>
      </w:r>
      <w:r w:rsidR="00C62551">
        <w:t>Contract</w:t>
      </w:r>
      <w:r>
        <w:t xml:space="preserve"> may be amended or supplemented only on the basis of written amendments signed by both </w:t>
      </w:r>
      <w:r w:rsidR="00C40B92">
        <w:t>Parties</w:t>
      </w:r>
      <w:r>
        <w:t xml:space="preserve">. </w:t>
      </w:r>
    </w:p>
    <w:p w14:paraId="0000009B" w14:textId="77777777" w:rsidR="003F1A6D" w:rsidRDefault="00DB5D40">
      <w:pPr>
        <w:pStyle w:val="P68B1DB1-Normln3"/>
        <w:numPr>
          <w:ilvl w:val="1"/>
          <w:numId w:val="22"/>
        </w:numPr>
        <w:spacing w:after="0" w:line="240" w:lineRule="auto"/>
        <w:ind w:left="426" w:hanging="426"/>
        <w:jc w:val="both"/>
      </w:pPr>
      <w:r>
        <w:t xml:space="preserve">All annexes to this contract are an inseparable part of it. </w:t>
      </w:r>
    </w:p>
    <w:p w14:paraId="0000009C" w14:textId="3DFF450A" w:rsidR="003F1A6D" w:rsidRDefault="00DB5D40">
      <w:pPr>
        <w:pStyle w:val="P68B1DB1-Normln3"/>
        <w:numPr>
          <w:ilvl w:val="1"/>
          <w:numId w:val="22"/>
        </w:numPr>
        <w:spacing w:after="0" w:line="240" w:lineRule="auto"/>
        <w:ind w:left="426" w:hanging="426"/>
        <w:jc w:val="both"/>
      </w:pPr>
      <w:r>
        <w:t xml:space="preserve">In the event that any provision of this </w:t>
      </w:r>
      <w:r w:rsidR="00C62551">
        <w:t>Contract</w:t>
      </w:r>
      <w:r>
        <w:t xml:space="preserve"> becomes invalid, ineffective or unenforceable, the other provisions of this </w:t>
      </w:r>
      <w:r w:rsidR="00C62551">
        <w:t>Contract</w:t>
      </w:r>
      <w:r>
        <w:t xml:space="preserve"> shall remain valid, effective or enforceable unless it is apparent from the nature of this </w:t>
      </w:r>
      <w:r w:rsidR="00C62551">
        <w:t>Contract</w:t>
      </w:r>
      <w:r>
        <w:t xml:space="preserve"> or its content or from the circumstances in which it was concluded that such invalid, ineffective or unenforceable provision cannot be severed from the other content of this </w:t>
      </w:r>
      <w:r w:rsidR="00C62551">
        <w:t>Contract</w:t>
      </w:r>
      <w:r>
        <w:t xml:space="preserve">.  </w:t>
      </w:r>
    </w:p>
    <w:p w14:paraId="0000009D" w14:textId="5EE659DB" w:rsidR="003F1A6D" w:rsidRDefault="00DB5D40">
      <w:pPr>
        <w:pStyle w:val="P68B1DB1-Normln3"/>
        <w:numPr>
          <w:ilvl w:val="1"/>
          <w:numId w:val="22"/>
        </w:numPr>
        <w:spacing w:after="0" w:line="240" w:lineRule="auto"/>
        <w:ind w:left="426" w:hanging="426"/>
        <w:jc w:val="both"/>
      </w:pPr>
      <w:r>
        <w:lastRenderedPageBreak/>
        <w:t xml:space="preserve">The </w:t>
      </w:r>
      <w:r w:rsidR="00C40B92">
        <w:t>Parties</w:t>
      </w:r>
      <w:r>
        <w:t xml:space="preserve"> have agreed that the Provider is not entitled to assign or terminate the claim against the </w:t>
      </w:r>
      <w:r w:rsidR="00C62551">
        <w:t>Costumer</w:t>
      </w:r>
      <w:r>
        <w:t xml:space="preserve"> from this contract without the prior written consent of the </w:t>
      </w:r>
      <w:r w:rsidR="00C62551">
        <w:t>Costumer</w:t>
      </w:r>
      <w:r>
        <w:t xml:space="preserve">. The Provider is not entitled to use its claim against the </w:t>
      </w:r>
      <w:r w:rsidR="00C62551">
        <w:t>Costumer</w:t>
      </w:r>
      <w:r>
        <w:t xml:space="preserve"> from this contract or the claim for payment of a contractual penalty arising under this contract to unilaterally offset the </w:t>
      </w:r>
      <w:r w:rsidR="00C62551">
        <w:t>Costumer</w:t>
      </w:r>
      <w:r>
        <w:t>'s claim against the Provider.</w:t>
      </w:r>
    </w:p>
    <w:p w14:paraId="0000009E" w14:textId="461217C6" w:rsidR="003F1A6D" w:rsidRDefault="00DB5D40">
      <w:pPr>
        <w:pStyle w:val="P68B1DB1-Normln3"/>
        <w:numPr>
          <w:ilvl w:val="1"/>
          <w:numId w:val="22"/>
        </w:numPr>
        <w:spacing w:after="0" w:line="240" w:lineRule="auto"/>
        <w:ind w:left="426" w:hanging="426"/>
        <w:jc w:val="both"/>
      </w:pPr>
      <w:r>
        <w:t xml:space="preserve">The Provider assumes the risk of a change in circumstances within the meaning of </w:t>
      </w:r>
      <w:r w:rsidR="000C12B1">
        <w:t xml:space="preserve">Article </w:t>
      </w:r>
      <w:r>
        <w:t>1765(2) of the Civil Code.</w:t>
      </w:r>
    </w:p>
    <w:p w14:paraId="0000009F" w14:textId="29FC9DE0" w:rsidR="003F1A6D" w:rsidRDefault="00DB5D40">
      <w:pPr>
        <w:pStyle w:val="P68B1DB1-Normln4"/>
        <w:numPr>
          <w:ilvl w:val="1"/>
          <w:numId w:val="22"/>
        </w:numPr>
        <w:pBdr>
          <w:top w:val="nil"/>
          <w:left w:val="nil"/>
          <w:bottom w:val="nil"/>
          <w:right w:val="nil"/>
          <w:between w:val="nil"/>
        </w:pBdr>
        <w:spacing w:after="0"/>
        <w:ind w:left="426" w:hanging="426"/>
        <w:jc w:val="both"/>
      </w:pPr>
      <w:r>
        <w:t xml:space="preserve">The </w:t>
      </w:r>
      <w:r w:rsidR="00C62551">
        <w:t>Provider</w:t>
      </w:r>
      <w:r>
        <w:t xml:space="preserve"> declares that, prior to the conclusion of this contract, he did not engage in any conduct contrary to the law or to accepted principles of morality or circumvention of the law in connection with the public procurement procedure, in particular that he did not </w:t>
      </w:r>
      <w:r w:rsidR="00C62551">
        <w:t>tender</w:t>
      </w:r>
      <w:r>
        <w:t xml:space="preserve"> any advantages to the persons involved in the award of the public contract, and that, in particular, he did not engage in any anti-competitive conduct vis-à-vis other tenderers.</w:t>
      </w:r>
    </w:p>
    <w:p w14:paraId="000000A0" w14:textId="3F26F261" w:rsidR="003F1A6D" w:rsidRDefault="00DB5D40">
      <w:pPr>
        <w:pStyle w:val="P68B1DB1-Normln3"/>
        <w:numPr>
          <w:ilvl w:val="1"/>
          <w:numId w:val="22"/>
        </w:numPr>
        <w:spacing w:after="0" w:line="240" w:lineRule="auto"/>
        <w:ind w:left="426" w:hanging="426"/>
        <w:jc w:val="both"/>
      </w:pPr>
      <w:r>
        <w:t xml:space="preserve">This </w:t>
      </w:r>
      <w:r w:rsidR="00C62551">
        <w:t>Contract</w:t>
      </w:r>
      <w:r>
        <w:t xml:space="preserve"> shall enter into force on the date of its signature by both </w:t>
      </w:r>
      <w:r w:rsidR="00C40B92">
        <w:t>Parties</w:t>
      </w:r>
      <w:r>
        <w:t xml:space="preserve"> and shall take effect on the date of publication of this </w:t>
      </w:r>
      <w:r w:rsidR="00C62551">
        <w:t>Contract</w:t>
      </w:r>
      <w:r>
        <w:t xml:space="preserve"> in the Register of Contracts. The </w:t>
      </w:r>
      <w:r w:rsidR="00C62551">
        <w:t>Costumer</w:t>
      </w:r>
      <w:r>
        <w:t xml:space="preserve"> shall ensure the publication of the Contract in the Register of Contracts and shall inform the Provider accordingly. The </w:t>
      </w:r>
      <w:r w:rsidR="00C62551">
        <w:t>Provider</w:t>
      </w:r>
      <w:r>
        <w:t xml:space="preserve"> agrees to the publication of the entire text of this contract, including the signatures in the Register of Contracts. At the same time, the Provider acknowledges that in case of non-compliance with the legal obligation, the contract is automatically cancelled from the very beginning within three months of its signature.</w:t>
      </w:r>
    </w:p>
    <w:p w14:paraId="000000A1" w14:textId="77777777" w:rsidR="003F1A6D" w:rsidRDefault="00DB5D40">
      <w:pPr>
        <w:pStyle w:val="P68B1DB1-Normln3"/>
        <w:numPr>
          <w:ilvl w:val="1"/>
          <w:numId w:val="22"/>
        </w:numPr>
        <w:spacing w:after="0" w:line="240" w:lineRule="auto"/>
        <w:ind w:left="426" w:hanging="426"/>
        <w:jc w:val="both"/>
      </w:pPr>
      <w:r>
        <w:t xml:space="preserve">This contract shall be concluded by electronic means. Each Contracting Party shall receive an electronic original bearing </w:t>
      </w:r>
      <w:proofErr w:type="gramStart"/>
      <w:r>
        <w:t>electronic signatures</w:t>
      </w:r>
      <w:proofErr w:type="gramEnd"/>
      <w:r>
        <w:t>.</w:t>
      </w:r>
    </w:p>
    <w:p w14:paraId="000000A2" w14:textId="77777777" w:rsidR="003F1A6D" w:rsidRDefault="00DB5D40">
      <w:pPr>
        <w:pStyle w:val="P68B1DB1-Normln4"/>
        <w:numPr>
          <w:ilvl w:val="1"/>
          <w:numId w:val="22"/>
        </w:numPr>
        <w:pBdr>
          <w:top w:val="nil"/>
          <w:left w:val="nil"/>
          <w:bottom w:val="nil"/>
          <w:right w:val="nil"/>
          <w:between w:val="nil"/>
        </w:pBdr>
        <w:spacing w:after="0" w:line="240" w:lineRule="auto"/>
        <w:ind w:left="284" w:hanging="284"/>
        <w:jc w:val="both"/>
      </w:pPr>
      <w:r>
        <w:t xml:space="preserve">An integral part of this contract is </w:t>
      </w:r>
    </w:p>
    <w:p w14:paraId="000000A3" w14:textId="77777777" w:rsidR="003F1A6D" w:rsidRDefault="00DB5D40">
      <w:pPr>
        <w:pStyle w:val="P68B1DB1-Normln4"/>
        <w:pBdr>
          <w:top w:val="nil"/>
          <w:left w:val="nil"/>
          <w:bottom w:val="nil"/>
          <w:right w:val="nil"/>
          <w:between w:val="nil"/>
        </w:pBdr>
        <w:spacing w:after="0" w:line="240" w:lineRule="auto"/>
        <w:ind w:left="1418" w:hanging="1418"/>
      </w:pPr>
      <w:r>
        <w:t>Annex 1 – Specification of services provided;</w:t>
      </w:r>
    </w:p>
    <w:p w14:paraId="000000A4" w14:textId="1F7CD6DE" w:rsidR="003F1A6D" w:rsidRDefault="00DB5D40">
      <w:pPr>
        <w:pStyle w:val="P68B1DB1-Normln3"/>
        <w:pBdr>
          <w:top w:val="nil"/>
          <w:left w:val="nil"/>
          <w:bottom w:val="nil"/>
          <w:right w:val="nil"/>
          <w:between w:val="nil"/>
        </w:pBdr>
        <w:spacing w:after="0" w:line="240" w:lineRule="auto"/>
        <w:ind w:left="1418" w:hanging="1418"/>
        <w:rPr>
          <w:color w:val="000000"/>
        </w:rPr>
      </w:pPr>
      <w:r>
        <w:rPr>
          <w:color w:val="000000"/>
        </w:rPr>
        <w:t xml:space="preserve">Annex 2 – Requirements and measures to ensure the security of the </w:t>
      </w:r>
      <w:r w:rsidR="00C62551">
        <w:rPr>
          <w:color w:val="000000"/>
        </w:rPr>
        <w:t>Costumer</w:t>
      </w:r>
      <w:r>
        <w:rPr>
          <w:color w:val="000000"/>
        </w:rPr>
        <w:t>’s</w:t>
      </w:r>
      <w:r w:rsidR="000C12B1">
        <w:rPr>
          <w:color w:val="000000"/>
        </w:rPr>
        <w:t xml:space="preserve"> </w:t>
      </w:r>
      <w:r>
        <w:rPr>
          <w:color w:val="000000"/>
        </w:rPr>
        <w:t xml:space="preserve">information and information assets, </w:t>
      </w:r>
    </w:p>
    <w:p w14:paraId="000000A5" w14:textId="542D38D9" w:rsidR="003F1A6D" w:rsidRDefault="00DB5D40">
      <w:pPr>
        <w:pStyle w:val="P68B1DB1-Normln4"/>
        <w:pBdr>
          <w:top w:val="nil"/>
          <w:left w:val="nil"/>
          <w:bottom w:val="nil"/>
          <w:right w:val="nil"/>
          <w:between w:val="nil"/>
        </w:pBdr>
        <w:spacing w:after="0" w:line="240" w:lineRule="auto"/>
        <w:ind w:left="1418" w:hanging="1418"/>
      </w:pPr>
      <w:r>
        <w:t>Annex 3 – List of sub</w:t>
      </w:r>
      <w:r w:rsidR="000C12B1">
        <w:t>-p</w:t>
      </w:r>
      <w:r w:rsidR="00C62551">
        <w:t>rovider</w:t>
      </w:r>
      <w:r>
        <w:t xml:space="preserve">s (if applicable). </w:t>
      </w:r>
    </w:p>
    <w:p w14:paraId="000000A6" w14:textId="77777777" w:rsidR="003F1A6D" w:rsidRDefault="003F1A6D">
      <w:pPr>
        <w:spacing w:after="0" w:line="240" w:lineRule="auto"/>
        <w:rPr>
          <w:rFonts w:ascii="Arial" w:eastAsia="Arial" w:hAnsi="Arial" w:cs="Arial"/>
        </w:rPr>
      </w:pPr>
    </w:p>
    <w:p w14:paraId="000000A7" w14:textId="77777777" w:rsidR="003F1A6D" w:rsidRDefault="003F1A6D">
      <w:pPr>
        <w:spacing w:after="0" w:line="240" w:lineRule="auto"/>
        <w:jc w:val="center"/>
        <w:rPr>
          <w:rFonts w:ascii="Arial" w:eastAsia="Arial" w:hAnsi="Arial" w:cs="Arial"/>
          <w:b/>
          <w:bCs/>
          <w:color w:val="000000"/>
        </w:rPr>
      </w:pPr>
    </w:p>
    <w:p w14:paraId="68EF27C5" w14:textId="77777777" w:rsidR="000C12B1" w:rsidRPr="000C12B1" w:rsidRDefault="000C12B1" w:rsidP="000C12B1">
      <w:pPr>
        <w:spacing w:after="0" w:line="240" w:lineRule="auto"/>
        <w:jc w:val="both"/>
        <w:rPr>
          <w:rFonts w:ascii="Arial" w:eastAsia="Arial" w:hAnsi="Arial" w:cs="Arial"/>
          <w:color w:val="000000"/>
        </w:rPr>
      </w:pPr>
      <w:r w:rsidRPr="000C12B1">
        <w:rPr>
          <w:rFonts w:ascii="Arial" w:eastAsia="Arial" w:hAnsi="Arial" w:cs="Arial"/>
          <w:color w:val="000000"/>
          <w:highlight w:val="lightGray"/>
        </w:rPr>
        <w:t xml:space="preserve">[to be completed - </w:t>
      </w:r>
      <w:proofErr w:type="gramStart"/>
      <w:r w:rsidRPr="000C12B1">
        <w:rPr>
          <w:rFonts w:ascii="Arial" w:eastAsia="Arial" w:hAnsi="Arial" w:cs="Arial"/>
          <w:color w:val="000000"/>
          <w:highlight w:val="lightGray"/>
        </w:rPr>
        <w:t>place ]</w:t>
      </w:r>
      <w:proofErr w:type="gramEnd"/>
      <w:r w:rsidRPr="000C12B1">
        <w:rPr>
          <w:rFonts w:ascii="Arial" w:eastAsia="Arial" w:hAnsi="Arial" w:cs="Arial"/>
          <w:color w:val="000000"/>
        </w:rPr>
        <w:tab/>
      </w:r>
      <w:r w:rsidRPr="000C12B1">
        <w:rPr>
          <w:rFonts w:ascii="Arial" w:eastAsia="Arial" w:hAnsi="Arial" w:cs="Arial"/>
          <w:color w:val="000000"/>
        </w:rPr>
        <w:tab/>
      </w:r>
      <w:r w:rsidRPr="000C12B1">
        <w:rPr>
          <w:rFonts w:ascii="Arial" w:eastAsia="Arial" w:hAnsi="Arial" w:cs="Arial"/>
          <w:color w:val="000000"/>
        </w:rPr>
        <w:tab/>
      </w:r>
      <w:r w:rsidRPr="000C12B1">
        <w:rPr>
          <w:rFonts w:ascii="Arial" w:eastAsia="Arial" w:hAnsi="Arial" w:cs="Arial"/>
          <w:color w:val="000000"/>
        </w:rPr>
        <w:tab/>
      </w:r>
      <w:r w:rsidRPr="000C12B1">
        <w:rPr>
          <w:rFonts w:ascii="Arial" w:eastAsia="Arial" w:hAnsi="Arial" w:cs="Arial"/>
          <w:color w:val="000000"/>
        </w:rPr>
        <w:tab/>
      </w:r>
      <w:r w:rsidRPr="000C12B1">
        <w:rPr>
          <w:rFonts w:ascii="Arial" w:eastAsia="Arial" w:hAnsi="Arial" w:cs="Arial"/>
          <w:color w:val="000000"/>
          <w:highlight w:val="lightGray"/>
        </w:rPr>
        <w:t>[to be completed - place]</w:t>
      </w:r>
    </w:p>
    <w:p w14:paraId="000000A9" w14:textId="77777777" w:rsidR="003F1A6D" w:rsidRDefault="003F1A6D" w:rsidP="000C12B1">
      <w:pPr>
        <w:spacing w:after="0" w:line="240" w:lineRule="auto"/>
        <w:jc w:val="both"/>
        <w:rPr>
          <w:rFonts w:ascii="Arial" w:eastAsia="Arial" w:hAnsi="Arial" w:cs="Arial"/>
        </w:rPr>
      </w:pPr>
    </w:p>
    <w:p w14:paraId="000000AA" w14:textId="00FEDAFD" w:rsidR="003F1A6D" w:rsidRDefault="00DB5D40">
      <w:pPr>
        <w:pStyle w:val="P68B1DB1-Normln2"/>
        <w:spacing w:after="0" w:line="240" w:lineRule="auto"/>
        <w:jc w:val="both"/>
        <w:rPr>
          <w:bCs/>
        </w:rPr>
      </w:pPr>
      <w:r>
        <w:t>Provider</w:t>
      </w:r>
      <w:r>
        <w:tab/>
      </w:r>
      <w:r>
        <w:tab/>
      </w:r>
      <w:r>
        <w:tab/>
      </w:r>
      <w:r>
        <w:tab/>
      </w:r>
      <w:r>
        <w:tab/>
      </w:r>
      <w:r>
        <w:tab/>
      </w:r>
      <w:r w:rsidR="00C62551">
        <w:t>Costumer</w:t>
      </w:r>
    </w:p>
    <w:p w14:paraId="000000AB" w14:textId="77777777" w:rsidR="003F1A6D" w:rsidRDefault="003F1A6D">
      <w:pPr>
        <w:spacing w:after="0" w:line="240" w:lineRule="auto"/>
        <w:ind w:left="284"/>
        <w:jc w:val="both"/>
        <w:rPr>
          <w:rFonts w:ascii="Arial" w:eastAsia="Arial" w:hAnsi="Arial" w:cs="Arial"/>
        </w:rPr>
      </w:pPr>
    </w:p>
    <w:p w14:paraId="000000AC" w14:textId="77777777" w:rsidR="003F1A6D" w:rsidRDefault="003F1A6D">
      <w:pPr>
        <w:spacing w:after="0" w:line="240" w:lineRule="auto"/>
        <w:jc w:val="both"/>
        <w:rPr>
          <w:rFonts w:ascii="Arial" w:eastAsia="Arial" w:hAnsi="Arial" w:cs="Arial"/>
        </w:rPr>
      </w:pPr>
    </w:p>
    <w:p w14:paraId="000000AD" w14:textId="77777777" w:rsidR="003F1A6D" w:rsidRDefault="003F1A6D">
      <w:pPr>
        <w:spacing w:after="0" w:line="240" w:lineRule="auto"/>
        <w:jc w:val="both"/>
        <w:rPr>
          <w:rFonts w:ascii="Arial" w:eastAsia="Arial" w:hAnsi="Arial" w:cs="Arial"/>
        </w:rPr>
      </w:pPr>
    </w:p>
    <w:p w14:paraId="000000AE" w14:textId="77777777" w:rsidR="003F1A6D" w:rsidRDefault="003F1A6D">
      <w:pPr>
        <w:spacing w:after="0" w:line="240" w:lineRule="auto"/>
        <w:jc w:val="both"/>
        <w:rPr>
          <w:rFonts w:ascii="Arial" w:eastAsia="Arial" w:hAnsi="Arial" w:cs="Arial"/>
        </w:rPr>
      </w:pPr>
    </w:p>
    <w:p w14:paraId="49DDE479" w14:textId="77777777" w:rsidR="000C12B1" w:rsidRPr="000C12B1" w:rsidRDefault="000C12B1" w:rsidP="000C12B1">
      <w:pPr>
        <w:pBdr>
          <w:top w:val="nil"/>
          <w:left w:val="nil"/>
          <w:bottom w:val="nil"/>
          <w:right w:val="nil"/>
          <w:between w:val="nil"/>
        </w:pBdr>
        <w:spacing w:after="0" w:line="240" w:lineRule="auto"/>
        <w:jc w:val="both"/>
        <w:rPr>
          <w:rFonts w:ascii="Arial" w:eastAsia="Arial" w:hAnsi="Arial" w:cs="Arial"/>
          <w:color w:val="000000"/>
        </w:rPr>
      </w:pPr>
      <w:r w:rsidRPr="000C12B1">
        <w:rPr>
          <w:rFonts w:ascii="Arial" w:eastAsia="Arial" w:hAnsi="Arial" w:cs="Arial"/>
          <w:color w:val="000000"/>
        </w:rPr>
        <w:t>..................................................</w:t>
      </w:r>
      <w:r w:rsidRPr="000C12B1">
        <w:rPr>
          <w:rFonts w:ascii="Arial" w:eastAsia="Arial" w:hAnsi="Arial" w:cs="Arial"/>
          <w:color w:val="000000"/>
        </w:rPr>
        <w:tab/>
      </w:r>
      <w:r w:rsidRPr="000C12B1">
        <w:rPr>
          <w:rFonts w:ascii="Arial" w:eastAsia="Arial" w:hAnsi="Arial" w:cs="Arial"/>
          <w:color w:val="000000"/>
        </w:rPr>
        <w:tab/>
      </w:r>
      <w:r w:rsidRPr="000C12B1">
        <w:rPr>
          <w:rFonts w:ascii="Arial" w:eastAsia="Arial" w:hAnsi="Arial" w:cs="Arial"/>
          <w:color w:val="000000"/>
        </w:rPr>
        <w:tab/>
      </w:r>
      <w:r w:rsidRPr="000C12B1">
        <w:rPr>
          <w:rFonts w:ascii="Arial" w:eastAsia="Arial" w:hAnsi="Arial" w:cs="Arial"/>
          <w:color w:val="000000"/>
        </w:rPr>
        <w:tab/>
        <w:t>................................................</w:t>
      </w:r>
    </w:p>
    <w:p w14:paraId="6092C83A" w14:textId="77777777" w:rsidR="000C12B1" w:rsidRPr="000C12B1" w:rsidRDefault="000C12B1" w:rsidP="000C12B1">
      <w:pPr>
        <w:pBdr>
          <w:top w:val="nil"/>
          <w:left w:val="nil"/>
          <w:bottom w:val="nil"/>
          <w:right w:val="nil"/>
          <w:between w:val="nil"/>
        </w:pBdr>
        <w:spacing w:after="0" w:line="240" w:lineRule="auto"/>
        <w:jc w:val="both"/>
        <w:rPr>
          <w:rFonts w:ascii="Arial" w:eastAsia="Arial" w:hAnsi="Arial" w:cs="Arial"/>
          <w:color w:val="000000"/>
        </w:rPr>
      </w:pPr>
      <w:r w:rsidRPr="000C12B1">
        <w:rPr>
          <w:rFonts w:ascii="Arial" w:eastAsia="Arial" w:hAnsi="Arial" w:cs="Arial"/>
          <w:color w:val="000000"/>
          <w:highlight w:val="lightGray"/>
        </w:rPr>
        <w:t>[name and surname to be added</w:t>
      </w:r>
      <w:r w:rsidRPr="000C12B1">
        <w:rPr>
          <w:rFonts w:ascii="Arial" w:eastAsia="Arial" w:hAnsi="Arial" w:cs="Arial"/>
          <w:color w:val="000000"/>
        </w:rPr>
        <w:tab/>
      </w:r>
      <w:r w:rsidRPr="000C12B1">
        <w:rPr>
          <w:rFonts w:ascii="Arial" w:eastAsia="Arial" w:hAnsi="Arial" w:cs="Arial"/>
          <w:color w:val="000000"/>
        </w:rPr>
        <w:tab/>
      </w:r>
      <w:r w:rsidRPr="000C12B1">
        <w:rPr>
          <w:rFonts w:ascii="Arial" w:eastAsia="Arial" w:hAnsi="Arial" w:cs="Arial"/>
          <w:color w:val="000000"/>
        </w:rPr>
        <w:tab/>
      </w:r>
      <w:r w:rsidRPr="000C12B1">
        <w:rPr>
          <w:rFonts w:ascii="Arial" w:eastAsia="Arial" w:hAnsi="Arial" w:cs="Arial"/>
          <w:color w:val="000000"/>
        </w:rPr>
        <w:tab/>
        <w:t>[</w:t>
      </w:r>
      <w:r w:rsidRPr="000C12B1">
        <w:rPr>
          <w:rFonts w:ascii="Arial" w:eastAsia="Arial" w:hAnsi="Arial" w:cs="Arial"/>
          <w:color w:val="000000"/>
          <w:highlight w:val="lightGray"/>
        </w:rPr>
        <w:t>name and surname to be added</w:t>
      </w:r>
    </w:p>
    <w:p w14:paraId="7A1843D7" w14:textId="77777777" w:rsidR="000C12B1" w:rsidRPr="000C12B1" w:rsidRDefault="000C12B1" w:rsidP="000C12B1">
      <w:pPr>
        <w:pBdr>
          <w:top w:val="nil"/>
          <w:left w:val="nil"/>
          <w:bottom w:val="nil"/>
          <w:right w:val="nil"/>
          <w:between w:val="nil"/>
        </w:pBdr>
        <w:spacing w:after="0" w:line="240" w:lineRule="auto"/>
        <w:jc w:val="both"/>
        <w:rPr>
          <w:rFonts w:ascii="Arial" w:eastAsia="Arial" w:hAnsi="Arial" w:cs="Arial"/>
          <w:color w:val="000000"/>
        </w:rPr>
      </w:pPr>
      <w:r w:rsidRPr="000C12B1">
        <w:rPr>
          <w:rFonts w:ascii="Arial" w:eastAsia="Arial" w:hAnsi="Arial" w:cs="Arial"/>
          <w:color w:val="000000"/>
          <w:highlight w:val="lightGray"/>
        </w:rPr>
        <w:t xml:space="preserve">function(s) of </w:t>
      </w:r>
      <w:proofErr w:type="spellStart"/>
      <w:r w:rsidRPr="000C12B1">
        <w:rPr>
          <w:rFonts w:ascii="Arial" w:eastAsia="Arial" w:hAnsi="Arial" w:cs="Arial"/>
          <w:color w:val="000000"/>
          <w:highlight w:val="lightGray"/>
        </w:rPr>
        <w:t>authorised</w:t>
      </w:r>
      <w:proofErr w:type="spellEnd"/>
      <w:r w:rsidRPr="000C12B1">
        <w:rPr>
          <w:rFonts w:ascii="Arial" w:eastAsia="Arial" w:hAnsi="Arial" w:cs="Arial"/>
          <w:color w:val="000000"/>
          <w:highlight w:val="lightGray"/>
        </w:rPr>
        <w:t xml:space="preserve"> person(s)] </w:t>
      </w:r>
      <w:r w:rsidRPr="000C12B1">
        <w:rPr>
          <w:rFonts w:ascii="Arial" w:eastAsia="Arial" w:hAnsi="Arial" w:cs="Arial"/>
          <w:color w:val="000000"/>
        </w:rPr>
        <w:tab/>
      </w:r>
      <w:r w:rsidRPr="000C12B1">
        <w:rPr>
          <w:rFonts w:ascii="Arial" w:eastAsia="Arial" w:hAnsi="Arial" w:cs="Arial"/>
          <w:color w:val="000000"/>
        </w:rPr>
        <w:tab/>
      </w:r>
      <w:r w:rsidRPr="000C12B1">
        <w:rPr>
          <w:rFonts w:ascii="Arial" w:eastAsia="Arial" w:hAnsi="Arial" w:cs="Arial"/>
          <w:color w:val="000000"/>
        </w:rPr>
        <w:tab/>
      </w:r>
      <w:r w:rsidRPr="000C12B1">
        <w:rPr>
          <w:rFonts w:ascii="Arial" w:eastAsia="Arial" w:hAnsi="Arial" w:cs="Arial"/>
          <w:color w:val="000000"/>
        </w:rPr>
        <w:tab/>
      </w:r>
      <w:r w:rsidRPr="000C12B1">
        <w:rPr>
          <w:rFonts w:ascii="Arial" w:eastAsia="Arial" w:hAnsi="Arial" w:cs="Arial"/>
          <w:color w:val="000000"/>
          <w:highlight w:val="lightGray"/>
        </w:rPr>
        <w:t xml:space="preserve">function of </w:t>
      </w:r>
      <w:proofErr w:type="spellStart"/>
      <w:r w:rsidRPr="000C12B1">
        <w:rPr>
          <w:rFonts w:ascii="Arial" w:eastAsia="Arial" w:hAnsi="Arial" w:cs="Arial"/>
          <w:color w:val="000000"/>
          <w:highlight w:val="lightGray"/>
        </w:rPr>
        <w:t>authorised</w:t>
      </w:r>
      <w:proofErr w:type="spellEnd"/>
      <w:r w:rsidRPr="000C12B1">
        <w:rPr>
          <w:rFonts w:ascii="Arial" w:eastAsia="Arial" w:hAnsi="Arial" w:cs="Arial"/>
          <w:color w:val="000000"/>
          <w:highlight w:val="lightGray"/>
        </w:rPr>
        <w:t xml:space="preserve"> </w:t>
      </w:r>
      <w:proofErr w:type="gramStart"/>
      <w:r w:rsidRPr="000C12B1">
        <w:rPr>
          <w:rFonts w:ascii="Arial" w:eastAsia="Arial" w:hAnsi="Arial" w:cs="Arial"/>
          <w:color w:val="000000"/>
          <w:highlight w:val="lightGray"/>
        </w:rPr>
        <w:t>person ]</w:t>
      </w:r>
      <w:proofErr w:type="gramEnd"/>
    </w:p>
    <w:p w14:paraId="1D06CA96" w14:textId="77777777" w:rsidR="000C12B1" w:rsidRDefault="000C12B1" w:rsidP="000C12B1">
      <w:pPr>
        <w:pStyle w:val="P68B1DB1-Normln4"/>
        <w:pBdr>
          <w:top w:val="nil"/>
          <w:left w:val="nil"/>
          <w:bottom w:val="nil"/>
          <w:right w:val="nil"/>
          <w:between w:val="nil"/>
        </w:pBdr>
        <w:spacing w:after="0" w:line="240" w:lineRule="auto"/>
        <w:ind w:left="1418" w:hanging="1418"/>
      </w:pPr>
      <w:r>
        <w:t>signed electronically</w:t>
      </w:r>
      <w:r>
        <w:tab/>
      </w:r>
      <w:r>
        <w:tab/>
      </w:r>
      <w:r>
        <w:tab/>
      </w:r>
      <w:r>
        <w:tab/>
      </w:r>
      <w:r>
        <w:tab/>
      </w:r>
      <w:r>
        <w:tab/>
        <w:t>signed electronically</w:t>
      </w:r>
    </w:p>
    <w:p w14:paraId="0CCB8B79" w14:textId="28969CB5" w:rsidR="000C12B1" w:rsidRDefault="000C12B1" w:rsidP="000C12B1">
      <w:pPr>
        <w:pStyle w:val="P68B1DB1-Normln4"/>
        <w:pBdr>
          <w:top w:val="nil"/>
          <w:left w:val="nil"/>
          <w:bottom w:val="nil"/>
          <w:right w:val="nil"/>
          <w:between w:val="nil"/>
        </w:pBdr>
        <w:spacing w:after="0" w:line="240" w:lineRule="auto"/>
        <w:ind w:left="1418" w:hanging="1418"/>
      </w:pPr>
    </w:p>
    <w:p w14:paraId="000000B3" w14:textId="39E7CDB6" w:rsidR="003F1A6D" w:rsidRDefault="00DB5D40">
      <w:pPr>
        <w:pBdr>
          <w:top w:val="nil"/>
          <w:left w:val="nil"/>
          <w:bottom w:val="nil"/>
          <w:right w:val="nil"/>
          <w:between w:val="nil"/>
        </w:pBdr>
        <w:tabs>
          <w:tab w:val="left" w:pos="4678"/>
        </w:tabs>
        <w:spacing w:after="0" w:line="240" w:lineRule="auto"/>
        <w:jc w:val="center"/>
        <w:rPr>
          <w:rFonts w:ascii="Arial" w:eastAsia="Arial" w:hAnsi="Arial" w:cs="Arial"/>
          <w:b/>
          <w:bCs/>
          <w:color w:val="000000"/>
          <w:sz w:val="24"/>
          <w:szCs w:val="24"/>
        </w:rPr>
      </w:pPr>
      <w:r>
        <w:br w:type="page"/>
      </w:r>
      <w:r>
        <w:rPr>
          <w:rFonts w:ascii="Arial" w:eastAsia="Arial" w:hAnsi="Arial" w:cs="Arial"/>
          <w:b/>
          <w:color w:val="000000"/>
          <w:sz w:val="24"/>
          <w:szCs w:val="24"/>
        </w:rPr>
        <w:lastRenderedPageBreak/>
        <w:t>Annex 1</w:t>
      </w:r>
    </w:p>
    <w:p w14:paraId="000000B4" w14:textId="77777777" w:rsidR="003F1A6D" w:rsidRDefault="00DB5D40">
      <w:pPr>
        <w:pStyle w:val="P68B1DB1-Normln7"/>
        <w:pBdr>
          <w:top w:val="nil"/>
          <w:left w:val="nil"/>
          <w:bottom w:val="nil"/>
          <w:right w:val="nil"/>
          <w:between w:val="nil"/>
        </w:pBdr>
        <w:tabs>
          <w:tab w:val="left" w:pos="4678"/>
        </w:tabs>
        <w:spacing w:after="0" w:line="240" w:lineRule="auto"/>
        <w:rPr>
          <w:bCs/>
        </w:rPr>
      </w:pPr>
      <w:r>
        <w:t>Service specifications</w:t>
      </w:r>
    </w:p>
    <w:p w14:paraId="000000B5" w14:textId="77777777" w:rsidR="003F1A6D" w:rsidRDefault="00DB5D40">
      <w:pPr>
        <w:pStyle w:val="P68B1DB1-Normln8"/>
        <w:keepNext/>
        <w:keepLines/>
        <w:shd w:val="clear" w:color="auto" w:fill="333399"/>
        <w:spacing w:before="240" w:after="0" w:line="240" w:lineRule="auto"/>
        <w:rPr>
          <w:bCs/>
        </w:rPr>
      </w:pPr>
      <w:r>
        <w:t>List of abbreviations</w:t>
      </w:r>
    </w:p>
    <w:p w14:paraId="000000B6" w14:textId="77777777" w:rsidR="003F1A6D" w:rsidRDefault="00DB5D40">
      <w:pPr>
        <w:pStyle w:val="P68B1DB1-Normln3"/>
        <w:spacing w:after="0" w:line="240" w:lineRule="auto"/>
      </w:pPr>
      <w:r>
        <w:t>For the purposes of the next text, the following terms will be used:</w:t>
      </w:r>
    </w:p>
    <w:tbl>
      <w:tblPr>
        <w:tblStyle w:val="af3"/>
        <w:tblW w:w="86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30"/>
        <w:gridCol w:w="6946"/>
      </w:tblGrid>
      <w:tr w:rsidR="003F1A6D" w14:paraId="767C57BD" w14:textId="77777777" w:rsidTr="000C12B1">
        <w:trPr>
          <w:cantSplit/>
          <w:tblHeader/>
        </w:trPr>
        <w:tc>
          <w:tcPr>
            <w:tcW w:w="1730" w:type="dxa"/>
            <w:shd w:val="clear" w:color="auto" w:fill="3366FF"/>
          </w:tcPr>
          <w:p w14:paraId="000000B7" w14:textId="77777777" w:rsidR="003F1A6D" w:rsidRDefault="00DB5D40">
            <w:pPr>
              <w:pStyle w:val="P68B1DB1-Normln2"/>
              <w:spacing w:after="0" w:line="240" w:lineRule="auto"/>
              <w:rPr>
                <w:bCs/>
              </w:rPr>
            </w:pPr>
            <w:r>
              <w:t>Concept</w:t>
            </w:r>
          </w:p>
        </w:tc>
        <w:tc>
          <w:tcPr>
            <w:tcW w:w="6946" w:type="dxa"/>
            <w:shd w:val="clear" w:color="auto" w:fill="3366FF"/>
          </w:tcPr>
          <w:p w14:paraId="000000B8" w14:textId="77777777" w:rsidR="003F1A6D" w:rsidRDefault="00DB5D40">
            <w:pPr>
              <w:pStyle w:val="P68B1DB1-Normln2"/>
              <w:spacing w:after="0" w:line="240" w:lineRule="auto"/>
              <w:rPr>
                <w:bCs/>
              </w:rPr>
            </w:pPr>
            <w:r>
              <w:t>Significance</w:t>
            </w:r>
          </w:p>
        </w:tc>
      </w:tr>
      <w:tr w:rsidR="003F1A6D" w14:paraId="1B3EE360" w14:textId="77777777" w:rsidTr="000C12B1">
        <w:trPr>
          <w:cantSplit/>
          <w:trHeight w:val="554"/>
        </w:trPr>
        <w:tc>
          <w:tcPr>
            <w:tcW w:w="1730" w:type="dxa"/>
          </w:tcPr>
          <w:p w14:paraId="000000B9" w14:textId="77777777" w:rsidR="003F1A6D" w:rsidRDefault="00DB5D40">
            <w:pPr>
              <w:pStyle w:val="P68B1DB1-Normln5"/>
              <w:spacing w:after="0" w:line="240" w:lineRule="auto"/>
              <w:rPr>
                <w:bCs/>
              </w:rPr>
            </w:pPr>
            <w:r>
              <w:t xml:space="preserve">Incident </w:t>
            </w:r>
          </w:p>
        </w:tc>
        <w:tc>
          <w:tcPr>
            <w:tcW w:w="6946" w:type="dxa"/>
          </w:tcPr>
          <w:p w14:paraId="000000BA" w14:textId="77777777" w:rsidR="003F1A6D" w:rsidRDefault="00DB5D40">
            <w:pPr>
              <w:pStyle w:val="P68B1DB1-Normln3"/>
              <w:keepNext/>
              <w:spacing w:after="0" w:line="240" w:lineRule="auto"/>
              <w:rPr>
                <w:color w:val="000000"/>
              </w:rPr>
            </w:pPr>
            <w:r>
              <w:t>Indicated problem of IS or parts of IS. The categorization of incidents is presented below.</w:t>
            </w:r>
          </w:p>
        </w:tc>
      </w:tr>
      <w:tr w:rsidR="003F1A6D" w14:paraId="56A59B23" w14:textId="77777777" w:rsidTr="000C12B1">
        <w:trPr>
          <w:cantSplit/>
          <w:trHeight w:val="607"/>
        </w:trPr>
        <w:tc>
          <w:tcPr>
            <w:tcW w:w="1730" w:type="dxa"/>
          </w:tcPr>
          <w:p w14:paraId="000000BB" w14:textId="77777777" w:rsidR="003F1A6D" w:rsidRDefault="00DB5D40">
            <w:pPr>
              <w:pStyle w:val="P68B1DB1-Normln2"/>
              <w:spacing w:after="0" w:line="240" w:lineRule="auto"/>
              <w:rPr>
                <w:bCs/>
                <w:color w:val="000000"/>
              </w:rPr>
            </w:pPr>
            <w:r>
              <w:t>Moment of reporting</w:t>
            </w:r>
          </w:p>
        </w:tc>
        <w:tc>
          <w:tcPr>
            <w:tcW w:w="6946" w:type="dxa"/>
          </w:tcPr>
          <w:p w14:paraId="000000BC" w14:textId="77777777" w:rsidR="003F1A6D" w:rsidRDefault="00DB5D40">
            <w:pPr>
              <w:pStyle w:val="P68B1DB1-Normln4"/>
              <w:keepNext/>
              <w:spacing w:after="0" w:line="240" w:lineRule="auto"/>
            </w:pPr>
            <w:r>
              <w:t>Moment of reporting an incident or request via the Service Desk</w:t>
            </w:r>
          </w:p>
        </w:tc>
      </w:tr>
      <w:tr w:rsidR="003F1A6D" w14:paraId="2A3D6F93" w14:textId="77777777" w:rsidTr="000C12B1">
        <w:trPr>
          <w:cantSplit/>
        </w:trPr>
        <w:tc>
          <w:tcPr>
            <w:tcW w:w="1730" w:type="dxa"/>
          </w:tcPr>
          <w:p w14:paraId="000000BD" w14:textId="77777777" w:rsidR="003F1A6D" w:rsidRDefault="00DB5D40">
            <w:pPr>
              <w:pStyle w:val="P68B1DB1-Normln2"/>
              <w:spacing w:after="0" w:line="240" w:lineRule="auto"/>
              <w:rPr>
                <w:bCs/>
                <w:color w:val="000000"/>
              </w:rPr>
            </w:pPr>
            <w:r>
              <w:t>Reaction time (Reaction)</w:t>
            </w:r>
          </w:p>
        </w:tc>
        <w:tc>
          <w:tcPr>
            <w:tcW w:w="6946" w:type="dxa"/>
          </w:tcPr>
          <w:p w14:paraId="000000BE" w14:textId="14761F0A" w:rsidR="003F1A6D" w:rsidRDefault="00DB5D40">
            <w:pPr>
              <w:pStyle w:val="P68B1DB1-Normln4"/>
              <w:keepNext/>
              <w:spacing w:after="0" w:line="240" w:lineRule="auto"/>
            </w:pPr>
            <w:r>
              <w:t xml:space="preserve">Time from the moment of reporting an incident or request via the Service Desk to the moment of the commencement of the Provider's activity to identify and remove the incident or the commencement of the implementation of the </w:t>
            </w:r>
            <w:r w:rsidR="00C62551">
              <w:t>Costumer</w:t>
            </w:r>
            <w:r>
              <w:t xml:space="preserve">'s request </w:t>
            </w:r>
          </w:p>
        </w:tc>
      </w:tr>
      <w:tr w:rsidR="003F1A6D" w14:paraId="11EE166C" w14:textId="77777777" w:rsidTr="000C12B1">
        <w:trPr>
          <w:cantSplit/>
        </w:trPr>
        <w:tc>
          <w:tcPr>
            <w:tcW w:w="1730" w:type="dxa"/>
          </w:tcPr>
          <w:p w14:paraId="000000BF" w14:textId="77777777" w:rsidR="003F1A6D" w:rsidRDefault="00DB5D40">
            <w:pPr>
              <w:pStyle w:val="P68B1DB1-Normln2"/>
              <w:spacing w:after="0" w:line="240" w:lineRule="auto"/>
              <w:rPr>
                <w:bCs/>
                <w:color w:val="000000"/>
              </w:rPr>
            </w:pPr>
            <w:r>
              <w:t>Resolution Time (Resolution)</w:t>
            </w:r>
          </w:p>
        </w:tc>
        <w:tc>
          <w:tcPr>
            <w:tcW w:w="6946" w:type="dxa"/>
          </w:tcPr>
          <w:p w14:paraId="000000C0" w14:textId="7113C5DA" w:rsidR="003F1A6D" w:rsidRDefault="00DB5D40" w:rsidP="000C12B1">
            <w:pPr>
              <w:pStyle w:val="P68B1DB1-Normln4"/>
              <w:keepNext/>
              <w:spacing w:after="0" w:line="240" w:lineRule="auto"/>
              <w:ind w:right="183"/>
            </w:pPr>
            <w:r>
              <w:t xml:space="preserve">Time from the moment of reporting the incident or request to the moment of agreeing to resolve the incident or request by the </w:t>
            </w:r>
            <w:r w:rsidR="00C62551">
              <w:t>Costumer</w:t>
            </w:r>
            <w:r>
              <w:t xml:space="preserve">. </w:t>
            </w:r>
          </w:p>
        </w:tc>
      </w:tr>
      <w:tr w:rsidR="003F1A6D" w14:paraId="75DEF3AA" w14:textId="77777777" w:rsidTr="000C12B1">
        <w:trPr>
          <w:cantSplit/>
        </w:trPr>
        <w:tc>
          <w:tcPr>
            <w:tcW w:w="1730" w:type="dxa"/>
          </w:tcPr>
          <w:p w14:paraId="000000C1" w14:textId="77777777" w:rsidR="003F1A6D" w:rsidRDefault="00DB5D40">
            <w:pPr>
              <w:pStyle w:val="P68B1DB1-Normln2"/>
              <w:spacing w:after="0" w:line="240" w:lineRule="auto"/>
              <w:rPr>
                <w:bCs/>
              </w:rPr>
            </w:pPr>
            <w:r>
              <w:t>SLA</w:t>
            </w:r>
          </w:p>
        </w:tc>
        <w:tc>
          <w:tcPr>
            <w:tcW w:w="6946" w:type="dxa"/>
          </w:tcPr>
          <w:p w14:paraId="000000C2" w14:textId="77777777" w:rsidR="003F1A6D" w:rsidRDefault="00DB5D40">
            <w:pPr>
              <w:pStyle w:val="P68B1DB1-Normln4"/>
              <w:keepNext/>
              <w:spacing w:after="0" w:line="240" w:lineRule="auto"/>
            </w:pPr>
            <w:r>
              <w:t>Specific contractual parameters for the provision of services at given service levels.</w:t>
            </w:r>
          </w:p>
        </w:tc>
      </w:tr>
      <w:tr w:rsidR="003F1A6D" w14:paraId="0536B713" w14:textId="77777777" w:rsidTr="000C12B1">
        <w:trPr>
          <w:cantSplit/>
        </w:trPr>
        <w:tc>
          <w:tcPr>
            <w:tcW w:w="1730" w:type="dxa"/>
          </w:tcPr>
          <w:p w14:paraId="000000C3" w14:textId="77777777" w:rsidR="003F1A6D" w:rsidRDefault="00DB5D40">
            <w:pPr>
              <w:pStyle w:val="P68B1DB1-Normln2"/>
              <w:spacing w:after="0" w:line="240" w:lineRule="auto"/>
              <w:rPr>
                <w:bCs/>
              </w:rPr>
            </w:pPr>
            <w:r>
              <w:t>NBD</w:t>
            </w:r>
          </w:p>
        </w:tc>
        <w:tc>
          <w:tcPr>
            <w:tcW w:w="6946" w:type="dxa"/>
          </w:tcPr>
          <w:p w14:paraId="000000C4" w14:textId="77777777" w:rsidR="003F1A6D" w:rsidRDefault="00DB5D40">
            <w:pPr>
              <w:pStyle w:val="P68B1DB1-Normln4"/>
              <w:keepNext/>
              <w:spacing w:after="0" w:line="240" w:lineRule="auto"/>
            </w:pPr>
            <w:r>
              <w:t>The following business day from the time of reporting the incident or request.</w:t>
            </w:r>
          </w:p>
        </w:tc>
      </w:tr>
      <w:tr w:rsidR="003F1A6D" w14:paraId="1F1A0030" w14:textId="77777777" w:rsidTr="000C12B1">
        <w:trPr>
          <w:cantSplit/>
        </w:trPr>
        <w:tc>
          <w:tcPr>
            <w:tcW w:w="1730" w:type="dxa"/>
            <w:vAlign w:val="center"/>
          </w:tcPr>
          <w:p w14:paraId="000000C5" w14:textId="77777777" w:rsidR="003F1A6D" w:rsidRDefault="00DB5D40">
            <w:pPr>
              <w:pStyle w:val="P68B1DB1-Normln5"/>
              <w:spacing w:after="0" w:line="240" w:lineRule="auto"/>
              <w:rPr>
                <w:bCs/>
              </w:rPr>
            </w:pPr>
            <w:r>
              <w:t>HW</w:t>
            </w:r>
          </w:p>
        </w:tc>
        <w:tc>
          <w:tcPr>
            <w:tcW w:w="6946" w:type="dxa"/>
            <w:vAlign w:val="center"/>
          </w:tcPr>
          <w:p w14:paraId="000000C6" w14:textId="77777777" w:rsidR="003F1A6D" w:rsidRDefault="00DB5D40">
            <w:pPr>
              <w:pStyle w:val="P68B1DB1-Normln4"/>
              <w:keepNext/>
              <w:spacing w:after="0" w:line="240" w:lineRule="auto"/>
            </w:pPr>
            <w:r>
              <w:t>Hardware</w:t>
            </w:r>
          </w:p>
        </w:tc>
      </w:tr>
      <w:tr w:rsidR="003F1A6D" w14:paraId="4385F253" w14:textId="77777777" w:rsidTr="000C12B1">
        <w:trPr>
          <w:cantSplit/>
        </w:trPr>
        <w:tc>
          <w:tcPr>
            <w:tcW w:w="1730" w:type="dxa"/>
            <w:vAlign w:val="center"/>
          </w:tcPr>
          <w:p w14:paraId="000000C7" w14:textId="77777777" w:rsidR="003F1A6D" w:rsidRDefault="00DB5D40">
            <w:pPr>
              <w:pStyle w:val="P68B1DB1-Normln5"/>
              <w:spacing w:after="0" w:line="240" w:lineRule="auto"/>
              <w:rPr>
                <w:bCs/>
              </w:rPr>
            </w:pPr>
            <w:r>
              <w:t>IS</w:t>
            </w:r>
          </w:p>
        </w:tc>
        <w:tc>
          <w:tcPr>
            <w:tcW w:w="6946" w:type="dxa"/>
            <w:vAlign w:val="center"/>
          </w:tcPr>
          <w:p w14:paraId="000000C8" w14:textId="77777777" w:rsidR="003F1A6D" w:rsidRDefault="00DB5D40">
            <w:pPr>
              <w:pStyle w:val="P68B1DB1-Normln4"/>
              <w:keepNext/>
              <w:spacing w:after="0" w:line="240" w:lineRule="auto"/>
            </w:pPr>
            <w:r>
              <w:t xml:space="preserve">Information System - Serviced Information System </w:t>
            </w:r>
          </w:p>
        </w:tc>
      </w:tr>
      <w:tr w:rsidR="003F1A6D" w14:paraId="04AE3F89" w14:textId="77777777" w:rsidTr="000C12B1">
        <w:trPr>
          <w:cantSplit/>
        </w:trPr>
        <w:tc>
          <w:tcPr>
            <w:tcW w:w="1730" w:type="dxa"/>
            <w:vAlign w:val="center"/>
          </w:tcPr>
          <w:p w14:paraId="000000C9" w14:textId="77777777" w:rsidR="003F1A6D" w:rsidRDefault="00DB5D40">
            <w:pPr>
              <w:pStyle w:val="P68B1DB1-Normln5"/>
              <w:spacing w:after="0" w:line="240" w:lineRule="auto"/>
              <w:rPr>
                <w:bCs/>
              </w:rPr>
            </w:pPr>
            <w:r>
              <w:t>SW</w:t>
            </w:r>
          </w:p>
        </w:tc>
        <w:tc>
          <w:tcPr>
            <w:tcW w:w="6946" w:type="dxa"/>
            <w:vAlign w:val="center"/>
          </w:tcPr>
          <w:p w14:paraId="000000CA" w14:textId="77777777" w:rsidR="003F1A6D" w:rsidRDefault="00DB5D40">
            <w:pPr>
              <w:pStyle w:val="P68B1DB1-Normln4"/>
              <w:keepNext/>
              <w:spacing w:after="0" w:line="240" w:lineRule="auto"/>
            </w:pPr>
            <w:r>
              <w:t>Software</w:t>
            </w:r>
          </w:p>
        </w:tc>
      </w:tr>
      <w:tr w:rsidR="003F1A6D" w14:paraId="2BC81508" w14:textId="77777777" w:rsidTr="000C12B1">
        <w:trPr>
          <w:cantSplit/>
        </w:trPr>
        <w:tc>
          <w:tcPr>
            <w:tcW w:w="1730" w:type="dxa"/>
            <w:vAlign w:val="center"/>
          </w:tcPr>
          <w:p w14:paraId="000000CB" w14:textId="77777777" w:rsidR="003F1A6D" w:rsidRDefault="00DB5D40">
            <w:pPr>
              <w:pStyle w:val="P68B1DB1-Normln5"/>
              <w:spacing w:after="0" w:line="240" w:lineRule="auto"/>
              <w:rPr>
                <w:bCs/>
              </w:rPr>
            </w:pPr>
            <w:r>
              <w:t>REQ</w:t>
            </w:r>
          </w:p>
        </w:tc>
        <w:tc>
          <w:tcPr>
            <w:tcW w:w="6946" w:type="dxa"/>
            <w:vAlign w:val="center"/>
          </w:tcPr>
          <w:p w14:paraId="000000CC" w14:textId="77777777" w:rsidR="003F1A6D" w:rsidRDefault="00DB5D40">
            <w:pPr>
              <w:pStyle w:val="P68B1DB1-Normln3"/>
              <w:keepNext/>
              <w:spacing w:after="0" w:line="240" w:lineRule="auto"/>
              <w:rPr>
                <w:color w:val="000000"/>
              </w:rPr>
            </w:pPr>
            <w:r>
              <w:rPr>
                <w:color w:val="000000"/>
              </w:rPr>
              <w:t xml:space="preserve">Development requirements - </w:t>
            </w:r>
            <w:r>
              <w:t>for the new functionality of the system including the change of the integration link following the change of the interface of another IS</w:t>
            </w:r>
          </w:p>
        </w:tc>
      </w:tr>
      <w:tr w:rsidR="003F1A6D" w14:paraId="35DB9877" w14:textId="77777777" w:rsidTr="000C12B1">
        <w:trPr>
          <w:cantSplit/>
        </w:trPr>
        <w:tc>
          <w:tcPr>
            <w:tcW w:w="1730" w:type="dxa"/>
            <w:vAlign w:val="center"/>
          </w:tcPr>
          <w:p w14:paraId="000000CD" w14:textId="77777777" w:rsidR="003F1A6D" w:rsidRDefault="00DB5D40">
            <w:pPr>
              <w:pStyle w:val="P68B1DB1-Normln5"/>
              <w:spacing w:after="0" w:line="240" w:lineRule="auto"/>
              <w:rPr>
                <w:bCs/>
              </w:rPr>
            </w:pPr>
            <w:r>
              <w:t>Prophylaxis of IS</w:t>
            </w:r>
          </w:p>
        </w:tc>
        <w:tc>
          <w:tcPr>
            <w:tcW w:w="6946" w:type="dxa"/>
            <w:vAlign w:val="center"/>
          </w:tcPr>
          <w:p w14:paraId="000000CE" w14:textId="1A20B404" w:rsidR="003F1A6D" w:rsidRDefault="00DB5D40">
            <w:pPr>
              <w:pStyle w:val="P68B1DB1-Normln4"/>
              <w:keepNext/>
              <w:spacing w:after="0" w:line="240" w:lineRule="auto"/>
            </w:pPr>
            <w:r>
              <w:t xml:space="preserve">Inspection and control of the basic functions of the IS and database in the production environment at least once every 3 months and handover of operating statistics to the </w:t>
            </w:r>
            <w:r w:rsidR="00C62551">
              <w:t>Costumer</w:t>
            </w:r>
          </w:p>
        </w:tc>
      </w:tr>
    </w:tbl>
    <w:p w14:paraId="000000CF" w14:textId="77777777" w:rsidR="003F1A6D" w:rsidRDefault="00DB5D40">
      <w:pPr>
        <w:pStyle w:val="P68B1DB1-Normln2"/>
        <w:spacing w:after="0" w:line="240" w:lineRule="auto"/>
        <w:rPr>
          <w:bCs/>
        </w:rPr>
      </w:pPr>
      <w:r>
        <w:t>Table 1: List of abbreviations and terms</w:t>
      </w:r>
    </w:p>
    <w:p w14:paraId="000000D0" w14:textId="77777777" w:rsidR="003F1A6D" w:rsidRDefault="00DB5D40">
      <w:pPr>
        <w:pStyle w:val="P68B1DB1-Normln8"/>
        <w:keepNext/>
        <w:keepLines/>
        <w:shd w:val="clear" w:color="auto" w:fill="333399"/>
        <w:spacing w:before="240" w:after="0" w:line="240" w:lineRule="auto"/>
        <w:rPr>
          <w:bCs/>
        </w:rPr>
      </w:pPr>
      <w:bookmarkStart w:id="2" w:name="_heading=h.30j0zll" w:colFirst="0" w:colLast="0"/>
      <w:bookmarkEnd w:id="2"/>
      <w:r>
        <w:t>Maintenance</w:t>
      </w:r>
    </w:p>
    <w:p w14:paraId="000000D1" w14:textId="2351AE20" w:rsidR="003F1A6D" w:rsidRDefault="00DB5D40">
      <w:pPr>
        <w:pStyle w:val="P68B1DB1-Normln3"/>
        <w:keepNext/>
        <w:keepLines/>
        <w:spacing w:after="0" w:line="240" w:lineRule="auto"/>
        <w:jc w:val="both"/>
        <w:rPr>
          <w:i/>
          <w:iCs/>
        </w:rPr>
      </w:pPr>
      <w:r>
        <w:t xml:space="preserve">Maintenance under this contract is carried out by the Provider at regular intervals of once a month (‘Maintenance’). Maintenance will be carried out according to the </w:t>
      </w:r>
      <w:r w:rsidR="00C62551">
        <w:t>Costumer</w:t>
      </w:r>
      <w:r>
        <w:t xml:space="preserve">'s instructions using remote access and at the </w:t>
      </w:r>
      <w:r w:rsidR="00C62551">
        <w:t>Costumer</w:t>
      </w:r>
      <w:r>
        <w:t xml:space="preserve">'s workplaces or at a place specified by the </w:t>
      </w:r>
      <w:r w:rsidR="00C62551">
        <w:t>Costumer</w:t>
      </w:r>
      <w:r>
        <w:t>.</w:t>
      </w:r>
    </w:p>
    <w:p w14:paraId="000000D2" w14:textId="77777777" w:rsidR="003F1A6D" w:rsidRDefault="003F1A6D">
      <w:pPr>
        <w:spacing w:after="0" w:line="240" w:lineRule="auto"/>
        <w:ind w:hanging="284"/>
        <w:jc w:val="both"/>
        <w:rPr>
          <w:rFonts w:ascii="Arial" w:eastAsia="Arial" w:hAnsi="Arial" w:cs="Arial"/>
        </w:rPr>
      </w:pPr>
    </w:p>
    <w:p w14:paraId="000000D3" w14:textId="308E5368" w:rsidR="003F1A6D" w:rsidRDefault="00DB5D40">
      <w:pPr>
        <w:pStyle w:val="P68B1DB1-Normln3"/>
        <w:spacing w:after="0" w:line="240" w:lineRule="auto"/>
        <w:jc w:val="both"/>
      </w:pPr>
      <w:r>
        <w:t xml:space="preserve">Maintenance will be carried out by the Provider in such a way as to prevent as much as possible the occurrence of any incidents that would prevent the proper use of the IS by the </w:t>
      </w:r>
      <w:r w:rsidR="00C62551">
        <w:t>Costumer</w:t>
      </w:r>
      <w:r>
        <w:t xml:space="preserve"> and to meet the availability of the IS pursuant to Article 1.7 of this </w:t>
      </w:r>
      <w:r w:rsidR="00C62551">
        <w:t>Contract</w:t>
      </w:r>
      <w:r>
        <w:t xml:space="preserve"> throughout the term of this </w:t>
      </w:r>
      <w:r w:rsidR="00C62551">
        <w:t>Contract</w:t>
      </w:r>
      <w:r>
        <w:t>.</w:t>
      </w:r>
    </w:p>
    <w:p w14:paraId="000000D4" w14:textId="77777777" w:rsidR="003F1A6D" w:rsidRDefault="003F1A6D">
      <w:pPr>
        <w:spacing w:after="0" w:line="240" w:lineRule="auto"/>
        <w:jc w:val="both"/>
        <w:rPr>
          <w:rFonts w:ascii="Arial" w:eastAsia="Arial" w:hAnsi="Arial" w:cs="Arial"/>
        </w:rPr>
      </w:pPr>
    </w:p>
    <w:p w14:paraId="000000D5" w14:textId="77777777" w:rsidR="003F1A6D" w:rsidRDefault="00DB5D40">
      <w:pPr>
        <w:pStyle w:val="P68B1DB1-Normln3"/>
        <w:spacing w:after="0" w:line="240" w:lineRule="auto"/>
        <w:jc w:val="both"/>
      </w:pPr>
      <w:r>
        <w:t>The exact date of Maintenance will be notified to the Customer by the Provider at least 3 days before the planned visit of the Provider's technician and subsequently confirmed by the Customer within 24 hours. If the date is not confirmed by the Customer, it is automatically considered approved.</w:t>
      </w:r>
    </w:p>
    <w:p w14:paraId="000000D6" w14:textId="77777777" w:rsidR="003F1A6D" w:rsidRDefault="003F1A6D">
      <w:pPr>
        <w:spacing w:after="0" w:line="240" w:lineRule="auto"/>
        <w:rPr>
          <w:rFonts w:ascii="Arial" w:eastAsia="Arial" w:hAnsi="Arial" w:cs="Arial"/>
        </w:rPr>
      </w:pPr>
    </w:p>
    <w:p w14:paraId="000000D7" w14:textId="77777777" w:rsidR="003F1A6D" w:rsidRDefault="00DB5D40">
      <w:pPr>
        <w:pStyle w:val="P68B1DB1-Normln3"/>
        <w:spacing w:after="0" w:line="240" w:lineRule="auto"/>
      </w:pPr>
      <w:r>
        <w:t>Maintenance services:</w:t>
      </w:r>
    </w:p>
    <w:p w14:paraId="000000D8" w14:textId="77777777" w:rsidR="003F1A6D" w:rsidRDefault="00DB5D40">
      <w:pPr>
        <w:pStyle w:val="P68B1DB1-Normln3"/>
        <w:numPr>
          <w:ilvl w:val="0"/>
          <w:numId w:val="10"/>
        </w:numPr>
        <w:spacing w:after="0" w:line="240" w:lineRule="auto"/>
        <w:jc w:val="both"/>
      </w:pPr>
      <w:r>
        <w:t xml:space="preserve">consultation in relation to existing IS functionalities, including assistance in the migration of the </w:t>
      </w:r>
      <w:proofErr w:type="spellStart"/>
      <w:r>
        <w:t>eMeDocS</w:t>
      </w:r>
      <w:proofErr w:type="spellEnd"/>
      <w:r>
        <w:t xml:space="preserve"> I network;</w:t>
      </w:r>
    </w:p>
    <w:p w14:paraId="000000D9" w14:textId="77777777" w:rsidR="003F1A6D" w:rsidRDefault="00DB5D40">
      <w:pPr>
        <w:pStyle w:val="P68B1DB1-Normln3"/>
        <w:numPr>
          <w:ilvl w:val="0"/>
          <w:numId w:val="10"/>
        </w:numPr>
        <w:spacing w:after="0" w:line="240" w:lineRule="auto"/>
        <w:jc w:val="both"/>
      </w:pPr>
      <w:r>
        <w:t>changes to system settings and configuration;</w:t>
      </w:r>
    </w:p>
    <w:p w14:paraId="000000DA" w14:textId="77777777" w:rsidR="003F1A6D" w:rsidRDefault="00DB5D40">
      <w:pPr>
        <w:pStyle w:val="P68B1DB1-Normln3"/>
        <w:numPr>
          <w:ilvl w:val="0"/>
          <w:numId w:val="10"/>
        </w:numPr>
        <w:spacing w:after="0" w:line="240" w:lineRule="auto"/>
        <w:jc w:val="both"/>
      </w:pPr>
      <w:r>
        <w:t>access to correction packages;</w:t>
      </w:r>
    </w:p>
    <w:p w14:paraId="000000DB" w14:textId="77777777" w:rsidR="003F1A6D" w:rsidRDefault="00DB5D40">
      <w:pPr>
        <w:pStyle w:val="P68B1DB1-Normln3"/>
        <w:numPr>
          <w:ilvl w:val="0"/>
          <w:numId w:val="10"/>
        </w:numPr>
        <w:spacing w:after="0" w:line="240" w:lineRule="auto"/>
        <w:jc w:val="both"/>
      </w:pPr>
      <w:r>
        <w:t>regular prophylaxis of IS;</w:t>
      </w:r>
    </w:p>
    <w:p w14:paraId="000000DC" w14:textId="77777777" w:rsidR="003F1A6D" w:rsidRDefault="00DB5D40">
      <w:pPr>
        <w:pStyle w:val="P68B1DB1-Normln3"/>
        <w:numPr>
          <w:ilvl w:val="0"/>
          <w:numId w:val="10"/>
        </w:numPr>
        <w:spacing w:after="0" w:line="240" w:lineRule="auto"/>
        <w:jc w:val="both"/>
      </w:pPr>
      <w:r>
        <w:lastRenderedPageBreak/>
        <w:t>modification of IS functionalities according to legislative changes - modification of existing IS functionalities to comply with legislative requirements so that they are, to the maximum extent possible, an integral part of IS;</w:t>
      </w:r>
    </w:p>
    <w:p w14:paraId="000000DD" w14:textId="77777777" w:rsidR="003F1A6D" w:rsidRDefault="00DB5D40">
      <w:pPr>
        <w:pStyle w:val="P68B1DB1-Normln3"/>
        <w:numPr>
          <w:ilvl w:val="0"/>
          <w:numId w:val="10"/>
        </w:numPr>
        <w:spacing w:after="0" w:line="240" w:lineRule="auto"/>
        <w:jc w:val="both"/>
      </w:pPr>
      <w:r>
        <w:t>software and firmware updates and upgrades, including installation;</w:t>
      </w:r>
    </w:p>
    <w:p w14:paraId="000000DE" w14:textId="77777777" w:rsidR="003F1A6D" w:rsidRDefault="00DB5D40">
      <w:pPr>
        <w:pStyle w:val="P68B1DB1-Normln3"/>
        <w:numPr>
          <w:ilvl w:val="0"/>
          <w:numId w:val="10"/>
        </w:numPr>
        <w:spacing w:after="0" w:line="240" w:lineRule="auto"/>
        <w:jc w:val="both"/>
      </w:pPr>
      <w:r>
        <w:t>optimization, identification of performance problems, etc.;</w:t>
      </w:r>
    </w:p>
    <w:p w14:paraId="000000DF" w14:textId="77777777" w:rsidR="003F1A6D" w:rsidRDefault="00DB5D40">
      <w:pPr>
        <w:pStyle w:val="P68B1DB1-Normln4"/>
        <w:numPr>
          <w:ilvl w:val="0"/>
          <w:numId w:val="10"/>
        </w:numPr>
        <w:spacing w:after="0" w:line="240" w:lineRule="auto"/>
        <w:jc w:val="both"/>
      </w:pPr>
      <w:r>
        <w:t>operation of the service desk and hotline;</w:t>
      </w:r>
    </w:p>
    <w:p w14:paraId="000000E0" w14:textId="77777777" w:rsidR="003F1A6D" w:rsidRDefault="00DB5D40">
      <w:pPr>
        <w:pStyle w:val="P68B1DB1-Normln4"/>
        <w:numPr>
          <w:ilvl w:val="0"/>
          <w:numId w:val="10"/>
        </w:numPr>
        <w:spacing w:after="0" w:line="240" w:lineRule="auto"/>
        <w:jc w:val="both"/>
      </w:pPr>
      <w:r>
        <w:t>providing a test environment;</w:t>
      </w:r>
    </w:p>
    <w:p w14:paraId="000000E1" w14:textId="77777777" w:rsidR="003F1A6D" w:rsidRDefault="00DB5D40">
      <w:pPr>
        <w:pStyle w:val="P68B1DB1-Normln4"/>
        <w:numPr>
          <w:ilvl w:val="0"/>
          <w:numId w:val="10"/>
        </w:numPr>
        <w:spacing w:after="0" w:line="240" w:lineRule="auto"/>
        <w:jc w:val="both"/>
      </w:pPr>
      <w:r>
        <w:t>updating the operational documentation;</w:t>
      </w:r>
    </w:p>
    <w:p w14:paraId="000000E2" w14:textId="77777777" w:rsidR="003F1A6D" w:rsidRDefault="00DB5D40">
      <w:pPr>
        <w:pStyle w:val="P68B1DB1-Normln3"/>
        <w:numPr>
          <w:ilvl w:val="0"/>
          <w:numId w:val="10"/>
        </w:numPr>
        <w:spacing w:after="0" w:line="240" w:lineRule="auto"/>
        <w:jc w:val="both"/>
      </w:pPr>
      <w:r>
        <w:t>maintaining all components of the IS so that they are supported by the manufacturer;</w:t>
      </w:r>
    </w:p>
    <w:p w14:paraId="000000E3" w14:textId="77777777" w:rsidR="003F1A6D" w:rsidRDefault="00DB5D40">
      <w:pPr>
        <w:pStyle w:val="P68B1DB1-Normln3"/>
        <w:numPr>
          <w:ilvl w:val="0"/>
          <w:numId w:val="10"/>
        </w:numPr>
        <w:spacing w:after="0" w:line="240" w:lineRule="auto"/>
        <w:jc w:val="both"/>
      </w:pPr>
      <w:r>
        <w:t>maintenance of documentation and records of change management in the agreed format and environment;</w:t>
      </w:r>
    </w:p>
    <w:p w14:paraId="000000E4" w14:textId="5CCE034D" w:rsidR="003F1A6D" w:rsidRDefault="00DB5D40">
      <w:pPr>
        <w:pStyle w:val="P68B1DB1-Normln3"/>
        <w:numPr>
          <w:ilvl w:val="0"/>
          <w:numId w:val="10"/>
        </w:numPr>
        <w:spacing w:after="0"/>
        <w:jc w:val="both"/>
      </w:pPr>
      <w:r>
        <w:t xml:space="preserve">Regular updates and restarts (define service window) – the supplier is obliged to perform the necessary updates and repairs of OS and other SW components on request, if a vulnerability has been found. In the event of a reported vulnerability on the part of the </w:t>
      </w:r>
      <w:r w:rsidR="00C62551">
        <w:t>Costumer</w:t>
      </w:r>
      <w:r>
        <w:t>, the supplier is obliged to take corrective measures to reduce the risks associated with the vulnerability as soon as possible.</w:t>
      </w:r>
    </w:p>
    <w:p w14:paraId="000000E5" w14:textId="77777777" w:rsidR="003F1A6D" w:rsidRDefault="00DB5D40">
      <w:pPr>
        <w:pStyle w:val="P68B1DB1-Normln8"/>
        <w:keepNext/>
        <w:keepLines/>
        <w:shd w:val="clear" w:color="auto" w:fill="333399"/>
        <w:spacing w:before="240" w:after="0" w:line="240" w:lineRule="auto"/>
        <w:rPr>
          <w:bCs/>
        </w:rPr>
      </w:pPr>
      <w:bookmarkStart w:id="3" w:name="_heading=h.1fob9te" w:colFirst="0" w:colLast="0"/>
      <w:bookmarkEnd w:id="3"/>
      <w:r>
        <w:t>Technical support and development</w:t>
      </w:r>
    </w:p>
    <w:p w14:paraId="000000E6" w14:textId="77777777" w:rsidR="003F1A6D" w:rsidRDefault="00DB5D40">
      <w:pPr>
        <w:pStyle w:val="P68B1DB1-Normln3"/>
        <w:keepNext/>
        <w:spacing w:after="0" w:line="240" w:lineRule="auto"/>
        <w:jc w:val="both"/>
      </w:pPr>
      <w:r>
        <w:t>Within the scope of technical support and development services under this contract, the following services are provided:</w:t>
      </w:r>
    </w:p>
    <w:p w14:paraId="000000E7" w14:textId="77777777" w:rsidR="003F1A6D" w:rsidRDefault="00DB5D40">
      <w:pPr>
        <w:pStyle w:val="P68B1DB1-Normln3"/>
        <w:keepNext/>
        <w:numPr>
          <w:ilvl w:val="0"/>
          <w:numId w:val="10"/>
        </w:numPr>
        <w:spacing w:after="0" w:line="240" w:lineRule="auto"/>
        <w:ind w:left="714" w:hanging="357"/>
        <w:jc w:val="both"/>
      </w:pPr>
      <w:r>
        <w:t>consulting services related to the development of IS;</w:t>
      </w:r>
    </w:p>
    <w:p w14:paraId="000000E8" w14:textId="77777777" w:rsidR="003F1A6D" w:rsidRDefault="00DB5D40">
      <w:pPr>
        <w:pStyle w:val="P68B1DB1-Normln3"/>
        <w:keepNext/>
        <w:numPr>
          <w:ilvl w:val="0"/>
          <w:numId w:val="10"/>
        </w:numPr>
        <w:spacing w:after="0" w:line="240" w:lineRule="auto"/>
        <w:ind w:left="714" w:hanging="357"/>
        <w:jc w:val="both"/>
      </w:pPr>
      <w:r>
        <w:t>training of users and administrators;</w:t>
      </w:r>
    </w:p>
    <w:p w14:paraId="000000E9" w14:textId="45E20187" w:rsidR="003F1A6D" w:rsidRDefault="00DB5D40">
      <w:pPr>
        <w:pStyle w:val="P68B1DB1-Normln3"/>
        <w:keepNext/>
        <w:numPr>
          <w:ilvl w:val="0"/>
          <w:numId w:val="10"/>
        </w:numPr>
        <w:spacing w:after="0" w:line="240" w:lineRule="auto"/>
        <w:ind w:left="714" w:hanging="357"/>
        <w:jc w:val="both"/>
      </w:pPr>
      <w:r>
        <w:t xml:space="preserve">cooperation in the field of cyber security pursuant to Annex 2 in the event of an incident caused by the </w:t>
      </w:r>
      <w:r w:rsidR="00C62551">
        <w:t>Costumer</w:t>
      </w:r>
      <w:r>
        <w:t>'s party;</w:t>
      </w:r>
    </w:p>
    <w:p w14:paraId="000000EA" w14:textId="77777777" w:rsidR="003F1A6D" w:rsidRDefault="00DB5D40">
      <w:pPr>
        <w:pStyle w:val="P68B1DB1-Normln3"/>
        <w:keepNext/>
        <w:numPr>
          <w:ilvl w:val="0"/>
          <w:numId w:val="10"/>
        </w:numPr>
        <w:spacing w:after="0" w:line="240" w:lineRule="auto"/>
        <w:ind w:left="714" w:hanging="357"/>
        <w:jc w:val="both"/>
      </w:pPr>
      <w:r>
        <w:t>reinstallation of IS;</w:t>
      </w:r>
    </w:p>
    <w:p w14:paraId="000000EB" w14:textId="77777777" w:rsidR="003F1A6D" w:rsidRDefault="00DB5D40">
      <w:pPr>
        <w:pStyle w:val="P68B1DB1-Normln3"/>
        <w:keepNext/>
        <w:numPr>
          <w:ilvl w:val="0"/>
          <w:numId w:val="10"/>
        </w:numPr>
        <w:spacing w:after="0" w:line="240" w:lineRule="auto"/>
        <w:ind w:left="714" w:hanging="357"/>
        <w:jc w:val="both"/>
      </w:pPr>
      <w:r>
        <w:t>Development (REQ): implementation of requirements for modification of system functionalities including change of integration link especially in connection with change of interface of another IS. The REQ requirements will be e.g. (not only) relate to the need to adjust the IS following the emergence and change of relevant standards. In general, REQ requirements are always only of such a nature that their purpose is the operation of the IS according to its original purpose – according to the purpose stated in the contract for work and according to Article 1 of the service contract.</w:t>
      </w:r>
    </w:p>
    <w:p w14:paraId="000000EC" w14:textId="77777777" w:rsidR="003F1A6D" w:rsidRDefault="003F1A6D">
      <w:pPr>
        <w:keepNext/>
        <w:spacing w:after="0" w:line="240" w:lineRule="auto"/>
        <w:jc w:val="both"/>
        <w:rPr>
          <w:rFonts w:ascii="Arial" w:eastAsia="Arial" w:hAnsi="Arial" w:cs="Arial"/>
        </w:rPr>
      </w:pPr>
    </w:p>
    <w:p w14:paraId="000000ED" w14:textId="77777777" w:rsidR="003F1A6D" w:rsidRDefault="00DB5D40">
      <w:pPr>
        <w:pStyle w:val="P68B1DB1-Normln3"/>
        <w:keepNext/>
        <w:spacing w:after="0" w:line="240" w:lineRule="auto"/>
        <w:jc w:val="both"/>
      </w:pPr>
      <w:r>
        <w:rPr>
          <w:b/>
        </w:rPr>
        <w:t>Service response time in this category:</w:t>
      </w:r>
      <w:r>
        <w:tab/>
        <w:t xml:space="preserve"> </w:t>
      </w:r>
      <w:r>
        <w:tab/>
        <w:t>2 working days</w:t>
      </w:r>
    </w:p>
    <w:p w14:paraId="000000EE" w14:textId="17F32135" w:rsidR="003F1A6D" w:rsidRDefault="00DB5D40">
      <w:pPr>
        <w:pStyle w:val="P68B1DB1-Normln3"/>
        <w:keepNext/>
        <w:spacing w:after="0" w:line="240" w:lineRule="auto"/>
        <w:jc w:val="both"/>
      </w:pPr>
      <w:r>
        <w:rPr>
          <w:b/>
        </w:rPr>
        <w:t>Service resolution time in this category:</w:t>
      </w:r>
      <w:r>
        <w:tab/>
        <w:t xml:space="preserve">The period of execution of the request will be immediately agreed in writing between the </w:t>
      </w:r>
      <w:r w:rsidR="00C62551">
        <w:t>Costumer</w:t>
      </w:r>
      <w:r>
        <w:t xml:space="preserve"> and the Provider and this period will subsequently become binding for the Provider. According to the type of REQ request, in particular in the case of a development request (modification of functionalities), the Provider shall prepare for the purposes of a written </w:t>
      </w:r>
      <w:r w:rsidR="00C62551">
        <w:t>Contract</w:t>
      </w:r>
      <w:r>
        <w:t xml:space="preserve"> pursuant to the previous sentence “Analysis of the implementation of the request” of the </w:t>
      </w:r>
      <w:r w:rsidR="00C62551">
        <w:t>Costumer</w:t>
      </w:r>
      <w:r>
        <w:t xml:space="preserve"> with a detailed technical description of the solution and a calculation of the price derived from the relevant number of service hours (REQ) under this contract necessary to resolve the REQ request. The Provider shall submit a written Analysis of the implementation of the request to the </w:t>
      </w:r>
      <w:r w:rsidR="00C62551">
        <w:t>Costumer</w:t>
      </w:r>
      <w:r>
        <w:t xml:space="preserve"> without undue delay after the expiry of the reaction time, no later than within 30 calendar days. See Article 2.5 of this </w:t>
      </w:r>
      <w:r w:rsidR="00C62551">
        <w:t>Contract</w:t>
      </w:r>
      <w:r>
        <w:t>.</w:t>
      </w:r>
    </w:p>
    <w:p w14:paraId="000000EF" w14:textId="77777777" w:rsidR="003F1A6D" w:rsidRDefault="003F1A6D">
      <w:pPr>
        <w:keepNext/>
        <w:spacing w:after="0" w:line="240" w:lineRule="auto"/>
        <w:jc w:val="both"/>
        <w:rPr>
          <w:rFonts w:ascii="Arial" w:eastAsia="Arial" w:hAnsi="Arial" w:cs="Arial"/>
          <w:highlight w:val="yellow"/>
        </w:rPr>
      </w:pPr>
      <w:bookmarkStart w:id="4" w:name="_heading=h.3znysh7" w:colFirst="0" w:colLast="0"/>
      <w:bookmarkEnd w:id="4"/>
    </w:p>
    <w:p w14:paraId="000000F0" w14:textId="77777777" w:rsidR="003F1A6D" w:rsidRDefault="00DB5D40">
      <w:pPr>
        <w:pStyle w:val="P68B1DB1-Normln8"/>
        <w:keepNext/>
        <w:keepLines/>
        <w:shd w:val="clear" w:color="auto" w:fill="333399"/>
        <w:spacing w:before="240" w:after="0" w:line="240" w:lineRule="auto"/>
        <w:rPr>
          <w:bCs/>
        </w:rPr>
      </w:pPr>
      <w:bookmarkStart w:id="5" w:name="_heading=h.2et92p0" w:colFirst="0" w:colLast="0"/>
      <w:bookmarkEnd w:id="5"/>
      <w:r>
        <w:t>Dealing with Incidents</w:t>
      </w:r>
    </w:p>
    <w:p w14:paraId="000000F1" w14:textId="77777777" w:rsidR="003F1A6D" w:rsidRDefault="00DB5D40">
      <w:pPr>
        <w:pStyle w:val="P68B1DB1-Normln2"/>
        <w:spacing w:after="0" w:line="240" w:lineRule="auto"/>
        <w:rPr>
          <w:bCs/>
        </w:rPr>
      </w:pPr>
      <w:r>
        <w:t>Categories of incidents:</w:t>
      </w:r>
    </w:p>
    <w:tbl>
      <w:tblPr>
        <w:tblStyle w:val="af4"/>
        <w:tblW w:w="85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89"/>
        <w:gridCol w:w="7191"/>
      </w:tblGrid>
      <w:tr w:rsidR="003F1A6D" w14:paraId="4474EECA" w14:textId="77777777">
        <w:trPr>
          <w:cantSplit/>
          <w:tblHeader/>
        </w:trPr>
        <w:tc>
          <w:tcPr>
            <w:tcW w:w="1389" w:type="dxa"/>
            <w:shd w:val="clear" w:color="auto" w:fill="3366FF"/>
          </w:tcPr>
          <w:p w14:paraId="000000F2" w14:textId="77777777" w:rsidR="003F1A6D" w:rsidRDefault="00DB5D40">
            <w:pPr>
              <w:pStyle w:val="P68B1DB1-Normln2"/>
              <w:spacing w:after="0" w:line="240" w:lineRule="auto"/>
              <w:rPr>
                <w:bCs/>
              </w:rPr>
            </w:pPr>
            <w:r>
              <w:t>Category</w:t>
            </w:r>
          </w:p>
        </w:tc>
        <w:tc>
          <w:tcPr>
            <w:tcW w:w="7191" w:type="dxa"/>
            <w:shd w:val="clear" w:color="auto" w:fill="3366FF"/>
          </w:tcPr>
          <w:p w14:paraId="000000F3" w14:textId="77777777" w:rsidR="003F1A6D" w:rsidRDefault="00DB5D40">
            <w:pPr>
              <w:pStyle w:val="P68B1DB1-Normln2"/>
              <w:spacing w:after="0" w:line="240" w:lineRule="auto"/>
              <w:rPr>
                <w:bCs/>
              </w:rPr>
            </w:pPr>
            <w:r>
              <w:t>Description</w:t>
            </w:r>
          </w:p>
        </w:tc>
      </w:tr>
      <w:tr w:rsidR="003F1A6D" w14:paraId="54F981E4" w14:textId="77777777">
        <w:trPr>
          <w:cantSplit/>
        </w:trPr>
        <w:tc>
          <w:tcPr>
            <w:tcW w:w="1389" w:type="dxa"/>
          </w:tcPr>
          <w:p w14:paraId="000000F4" w14:textId="77777777" w:rsidR="003F1A6D" w:rsidRDefault="00DB5D40">
            <w:pPr>
              <w:pStyle w:val="P68B1DB1-Normln5"/>
              <w:spacing w:after="0" w:line="240" w:lineRule="auto"/>
              <w:rPr>
                <w:bCs/>
              </w:rPr>
            </w:pPr>
            <w:r>
              <w:t>A</w:t>
            </w:r>
          </w:p>
        </w:tc>
        <w:tc>
          <w:tcPr>
            <w:tcW w:w="7191" w:type="dxa"/>
          </w:tcPr>
          <w:p w14:paraId="000000F5" w14:textId="77777777" w:rsidR="003F1A6D" w:rsidRDefault="00DB5D40">
            <w:pPr>
              <w:pStyle w:val="P68B1DB1-Normln4"/>
              <w:keepNext/>
              <w:spacing w:after="0" w:line="240" w:lineRule="auto"/>
            </w:pPr>
            <w:r>
              <w:t xml:space="preserve">A situation where the IS or part of the IS </w:t>
            </w:r>
            <w:proofErr w:type="spellStart"/>
            <w:r>
              <w:t>is</w:t>
            </w:r>
            <w:proofErr w:type="spellEnd"/>
            <w:r>
              <w:t xml:space="preserve"> completely non-functional, does not allow users to work with the IS, contains a </w:t>
            </w:r>
            <w:r>
              <w:rPr>
                <w:b/>
                <w:i/>
              </w:rPr>
              <w:t>security vulnerability</w:t>
            </w:r>
            <w:r>
              <w:t xml:space="preserve"> with a critical degree of severity </w:t>
            </w:r>
          </w:p>
        </w:tc>
      </w:tr>
      <w:tr w:rsidR="003F1A6D" w14:paraId="02F8DEC0" w14:textId="77777777">
        <w:trPr>
          <w:cantSplit/>
        </w:trPr>
        <w:tc>
          <w:tcPr>
            <w:tcW w:w="1389" w:type="dxa"/>
          </w:tcPr>
          <w:p w14:paraId="000000F6" w14:textId="77777777" w:rsidR="003F1A6D" w:rsidRDefault="00DB5D40">
            <w:pPr>
              <w:pStyle w:val="P68B1DB1-Normln5"/>
              <w:spacing w:after="0" w:line="240" w:lineRule="auto"/>
              <w:rPr>
                <w:bCs/>
              </w:rPr>
            </w:pPr>
            <w:r>
              <w:lastRenderedPageBreak/>
              <w:t>B</w:t>
            </w:r>
          </w:p>
        </w:tc>
        <w:tc>
          <w:tcPr>
            <w:tcW w:w="7191" w:type="dxa"/>
          </w:tcPr>
          <w:p w14:paraId="000000F7" w14:textId="77777777" w:rsidR="003F1A6D" w:rsidRDefault="00DB5D40">
            <w:pPr>
              <w:pStyle w:val="P68B1DB1-Normln4"/>
              <w:keepNext/>
              <w:spacing w:after="0" w:line="240" w:lineRule="auto"/>
            </w:pPr>
            <w:r>
              <w:t xml:space="preserve">A situation where the IS or part of the IS </w:t>
            </w:r>
            <w:proofErr w:type="spellStart"/>
            <w:r>
              <w:t>is</w:t>
            </w:r>
            <w:proofErr w:type="spellEnd"/>
            <w:r>
              <w:t xml:space="preserve"> partially functional allows partial provision of services, for a temporary period with reduced user comfort, or in a provisional manner for reasons on the part of the IS or part thereof, for which the Provider is obliged to provide service or the IS contains </w:t>
            </w:r>
            <w:r>
              <w:rPr>
                <w:b/>
                <w:i/>
              </w:rPr>
              <w:t>a security vulnerability</w:t>
            </w:r>
            <w:r>
              <w:t xml:space="preserve"> with a medium degree of severity</w:t>
            </w:r>
          </w:p>
        </w:tc>
      </w:tr>
      <w:tr w:rsidR="003F1A6D" w14:paraId="208613D7" w14:textId="77777777">
        <w:trPr>
          <w:cantSplit/>
        </w:trPr>
        <w:tc>
          <w:tcPr>
            <w:tcW w:w="1389" w:type="dxa"/>
          </w:tcPr>
          <w:p w14:paraId="000000F8" w14:textId="77777777" w:rsidR="003F1A6D" w:rsidRDefault="00DB5D40">
            <w:pPr>
              <w:pStyle w:val="P68B1DB1-Normln5"/>
              <w:spacing w:after="0" w:line="240" w:lineRule="auto"/>
              <w:rPr>
                <w:bCs/>
              </w:rPr>
            </w:pPr>
            <w:r>
              <w:t>C</w:t>
            </w:r>
          </w:p>
        </w:tc>
        <w:tc>
          <w:tcPr>
            <w:tcW w:w="7191" w:type="dxa"/>
          </w:tcPr>
          <w:p w14:paraId="000000F9" w14:textId="77777777" w:rsidR="003F1A6D" w:rsidRDefault="00DB5D40">
            <w:pPr>
              <w:pStyle w:val="P68B1DB1-Normln4"/>
              <w:keepNext/>
              <w:spacing w:after="0" w:line="240" w:lineRule="auto"/>
            </w:pPr>
            <w:r>
              <w:t xml:space="preserve">Shortcomings and defects of a small scale that do not prevent the use of the IS or part of it, however, the IS contains a </w:t>
            </w:r>
            <w:r>
              <w:rPr>
                <w:b/>
                <w:i/>
              </w:rPr>
              <w:t>security vulnerability</w:t>
            </w:r>
            <w:r>
              <w:t xml:space="preserve"> with a low degree of severity</w:t>
            </w:r>
          </w:p>
        </w:tc>
      </w:tr>
    </w:tbl>
    <w:p w14:paraId="000000FA" w14:textId="77777777" w:rsidR="003F1A6D" w:rsidRDefault="00DB5D40">
      <w:pPr>
        <w:pStyle w:val="P68B1DB1-Normln5"/>
        <w:spacing w:before="240" w:after="0" w:line="240" w:lineRule="auto"/>
        <w:rPr>
          <w:bCs/>
        </w:rPr>
      </w:pPr>
      <w:r>
        <w:rPr>
          <w:i/>
        </w:rPr>
        <w:t xml:space="preserve">Security vulnerability </w:t>
      </w:r>
      <w:proofErr w:type="gramStart"/>
      <w:r>
        <w:rPr>
          <w:i/>
        </w:rPr>
        <w:t>categories :</w:t>
      </w:r>
      <w:proofErr w:type="gramEnd"/>
    </w:p>
    <w:tbl>
      <w:tblPr>
        <w:tblStyle w:val="af5"/>
        <w:tblW w:w="858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389"/>
        <w:gridCol w:w="7191"/>
      </w:tblGrid>
      <w:tr w:rsidR="003F1A6D" w14:paraId="52B3D967" w14:textId="77777777">
        <w:trPr>
          <w:cantSplit/>
          <w:tblHeader/>
        </w:trPr>
        <w:tc>
          <w:tcPr>
            <w:tcW w:w="1389" w:type="dxa"/>
            <w:shd w:val="clear" w:color="auto" w:fill="3366FF"/>
          </w:tcPr>
          <w:p w14:paraId="000000FB" w14:textId="77777777" w:rsidR="003F1A6D" w:rsidRDefault="00DB5D40">
            <w:pPr>
              <w:pStyle w:val="P68B1DB1-Normln2"/>
              <w:spacing w:after="0" w:line="240" w:lineRule="auto"/>
              <w:rPr>
                <w:bCs/>
              </w:rPr>
            </w:pPr>
            <w:r>
              <w:t>Category</w:t>
            </w:r>
          </w:p>
        </w:tc>
        <w:tc>
          <w:tcPr>
            <w:tcW w:w="7191" w:type="dxa"/>
            <w:shd w:val="clear" w:color="auto" w:fill="3366FF"/>
          </w:tcPr>
          <w:p w14:paraId="000000FC" w14:textId="77777777" w:rsidR="003F1A6D" w:rsidRDefault="00DB5D40">
            <w:pPr>
              <w:pStyle w:val="P68B1DB1-Normln2"/>
              <w:spacing w:after="0" w:line="240" w:lineRule="auto"/>
              <w:rPr>
                <w:bCs/>
              </w:rPr>
            </w:pPr>
            <w:r>
              <w:t>Description</w:t>
            </w:r>
          </w:p>
        </w:tc>
      </w:tr>
      <w:tr w:rsidR="003F1A6D" w14:paraId="58A81B09" w14:textId="77777777">
        <w:trPr>
          <w:cantSplit/>
        </w:trPr>
        <w:tc>
          <w:tcPr>
            <w:tcW w:w="1389" w:type="dxa"/>
          </w:tcPr>
          <w:p w14:paraId="000000FD" w14:textId="77777777" w:rsidR="003F1A6D" w:rsidRDefault="00DB5D40">
            <w:pPr>
              <w:pStyle w:val="P68B1DB1-Normln5"/>
              <w:spacing w:after="0" w:line="240" w:lineRule="auto"/>
              <w:rPr>
                <w:bCs/>
              </w:rPr>
            </w:pPr>
            <w:r>
              <w:t>Critical</w:t>
            </w:r>
          </w:p>
        </w:tc>
        <w:tc>
          <w:tcPr>
            <w:tcW w:w="7191" w:type="dxa"/>
          </w:tcPr>
          <w:p w14:paraId="000000FE" w14:textId="77777777" w:rsidR="003F1A6D" w:rsidRDefault="00DB5D40">
            <w:pPr>
              <w:keepNext/>
              <w:spacing w:after="0" w:line="240" w:lineRule="auto"/>
              <w:rPr>
                <w:rFonts w:ascii="Arial" w:eastAsia="Arial" w:hAnsi="Arial" w:cs="Arial"/>
                <w:color w:val="000000"/>
              </w:rPr>
            </w:pPr>
            <w:r>
              <w:rPr>
                <w:rFonts w:ascii="Arial" w:eastAsia="Arial" w:hAnsi="Arial" w:cs="Arial"/>
                <w:color w:val="000000"/>
              </w:rPr>
              <w:t xml:space="preserve">Vulnerability will reach a baseline score </w:t>
            </w:r>
            <w:proofErr w:type="gramStart"/>
            <w:r>
              <w:rPr>
                <w:rFonts w:ascii="Arial" w:eastAsia="Arial" w:hAnsi="Arial" w:cs="Arial"/>
                <w:color w:val="000000"/>
              </w:rPr>
              <w:t xml:space="preserve">of </w:t>
            </w:r>
            <w:r>
              <w:t xml:space="preserve"> </w:t>
            </w:r>
            <w:r>
              <w:rPr>
                <w:rFonts w:ascii="Arial" w:eastAsia="Arial" w:hAnsi="Arial" w:cs="Arial"/>
                <w:color w:val="000000"/>
              </w:rPr>
              <w:t>8.0</w:t>
            </w:r>
            <w:proofErr w:type="gramEnd"/>
            <w:r>
              <w:rPr>
                <w:rFonts w:ascii="Arial" w:eastAsia="Arial" w:hAnsi="Arial" w:cs="Arial"/>
                <w:color w:val="000000"/>
              </w:rPr>
              <w:t xml:space="preserve"> – 10.0 according to the general vulnerability rating system (open standard CVSSv4 base score)</w:t>
            </w:r>
          </w:p>
        </w:tc>
      </w:tr>
      <w:tr w:rsidR="003F1A6D" w14:paraId="44220136" w14:textId="77777777">
        <w:trPr>
          <w:cantSplit/>
        </w:trPr>
        <w:tc>
          <w:tcPr>
            <w:tcW w:w="1389" w:type="dxa"/>
          </w:tcPr>
          <w:p w14:paraId="000000FF" w14:textId="77777777" w:rsidR="003F1A6D" w:rsidRDefault="00DB5D40">
            <w:pPr>
              <w:pStyle w:val="P68B1DB1-Normln5"/>
              <w:tabs>
                <w:tab w:val="left" w:pos="732"/>
              </w:tabs>
              <w:spacing w:after="0" w:line="240" w:lineRule="auto"/>
              <w:rPr>
                <w:bCs/>
              </w:rPr>
            </w:pPr>
            <w:r>
              <w:t>Medium</w:t>
            </w:r>
          </w:p>
        </w:tc>
        <w:tc>
          <w:tcPr>
            <w:tcW w:w="7191" w:type="dxa"/>
          </w:tcPr>
          <w:p w14:paraId="00000100" w14:textId="77777777" w:rsidR="003F1A6D" w:rsidRDefault="00DB5D40">
            <w:pPr>
              <w:pStyle w:val="P68B1DB1-Normln4"/>
              <w:keepNext/>
              <w:spacing w:after="0" w:line="240" w:lineRule="auto"/>
            </w:pPr>
            <w:r>
              <w:t>Vulnerability reaches a baseline score of 6.0-7.9 according to the general vulnerability rating system (CVSSv4 base score)</w:t>
            </w:r>
          </w:p>
        </w:tc>
      </w:tr>
      <w:tr w:rsidR="003F1A6D" w14:paraId="67953F65" w14:textId="77777777">
        <w:trPr>
          <w:cantSplit/>
        </w:trPr>
        <w:tc>
          <w:tcPr>
            <w:tcW w:w="1389" w:type="dxa"/>
          </w:tcPr>
          <w:p w14:paraId="00000101" w14:textId="77777777" w:rsidR="003F1A6D" w:rsidRDefault="00DB5D40">
            <w:pPr>
              <w:pStyle w:val="P68B1DB1-Normln5"/>
              <w:spacing w:after="0" w:line="240" w:lineRule="auto"/>
              <w:rPr>
                <w:bCs/>
              </w:rPr>
            </w:pPr>
            <w:r>
              <w:t>Low</w:t>
            </w:r>
          </w:p>
        </w:tc>
        <w:tc>
          <w:tcPr>
            <w:tcW w:w="7191" w:type="dxa"/>
          </w:tcPr>
          <w:p w14:paraId="00000102" w14:textId="77777777" w:rsidR="003F1A6D" w:rsidRDefault="00DB5D40">
            <w:pPr>
              <w:pStyle w:val="P68B1DB1-Normln4"/>
              <w:keepNext/>
              <w:spacing w:after="0" w:line="240" w:lineRule="auto"/>
            </w:pPr>
            <w:r>
              <w:t>Vulnerability reaches a baseline score of 0.0-5.9 according to the general vulnerability rating system (CVSSv4 base score)</w:t>
            </w:r>
          </w:p>
        </w:tc>
      </w:tr>
    </w:tbl>
    <w:p w14:paraId="00000103" w14:textId="77777777" w:rsidR="003F1A6D" w:rsidRDefault="00DB5D40">
      <w:pPr>
        <w:pStyle w:val="P68B1DB1-Normln4"/>
        <w:spacing w:before="240" w:after="0" w:line="240" w:lineRule="auto"/>
      </w:pPr>
      <w:r>
        <w:t>The following table then defines the reaction time and resolution time for each service level according to each incident category.</w:t>
      </w:r>
    </w:p>
    <w:p w14:paraId="00000104" w14:textId="77777777" w:rsidR="003F1A6D" w:rsidRDefault="003F1A6D">
      <w:pPr>
        <w:keepNext/>
        <w:keepLines/>
        <w:spacing w:after="0" w:line="240" w:lineRule="auto"/>
        <w:rPr>
          <w:rFonts w:ascii="Arial" w:eastAsia="Arial" w:hAnsi="Arial" w:cs="Arial"/>
        </w:rPr>
      </w:pPr>
    </w:p>
    <w:p w14:paraId="00000105" w14:textId="77777777" w:rsidR="003F1A6D" w:rsidRDefault="00DB5D40">
      <w:pPr>
        <w:pStyle w:val="P68B1DB1-Normln2"/>
        <w:keepNext/>
        <w:keepLines/>
        <w:spacing w:after="0" w:line="240" w:lineRule="auto"/>
        <w:rPr>
          <w:bCs/>
        </w:rPr>
      </w:pPr>
      <w:r>
        <w:t>Service level:</w:t>
      </w:r>
    </w:p>
    <w:tbl>
      <w:tblPr>
        <w:tblStyle w:val="af6"/>
        <w:tblW w:w="867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1380"/>
        <w:gridCol w:w="1275"/>
        <w:gridCol w:w="1275"/>
        <w:gridCol w:w="1275"/>
        <w:gridCol w:w="990"/>
        <w:gridCol w:w="1380"/>
      </w:tblGrid>
      <w:tr w:rsidR="003F1A6D" w14:paraId="63ADEA2B" w14:textId="77777777">
        <w:trPr>
          <w:trHeight w:val="465"/>
        </w:trPr>
        <w:tc>
          <w:tcPr>
            <w:tcW w:w="1095" w:type="dxa"/>
            <w:vMerge w:val="restart"/>
            <w:tcBorders>
              <w:top w:val="single" w:sz="5" w:space="0" w:color="000000"/>
              <w:left w:val="single" w:sz="5" w:space="0" w:color="000000"/>
              <w:bottom w:val="single" w:sz="5" w:space="0" w:color="000000"/>
              <w:right w:val="single" w:sz="5" w:space="0" w:color="000000"/>
            </w:tcBorders>
            <w:shd w:val="clear" w:color="auto" w:fill="3366FF"/>
            <w:tcMar>
              <w:top w:w="0" w:type="dxa"/>
              <w:left w:w="100" w:type="dxa"/>
              <w:bottom w:w="0" w:type="dxa"/>
              <w:right w:w="100" w:type="dxa"/>
            </w:tcMar>
          </w:tcPr>
          <w:p w14:paraId="00000106" w14:textId="77777777" w:rsidR="003F1A6D" w:rsidRDefault="00DB5D40">
            <w:pPr>
              <w:pStyle w:val="P68B1DB1-Normln2"/>
              <w:keepNext/>
              <w:keepLines/>
              <w:spacing w:after="0"/>
              <w:ind w:left="100"/>
              <w:jc w:val="center"/>
              <w:rPr>
                <w:bCs/>
              </w:rPr>
            </w:pPr>
            <w:r>
              <w:t>Level</w:t>
            </w:r>
          </w:p>
        </w:tc>
        <w:tc>
          <w:tcPr>
            <w:tcW w:w="2655" w:type="dxa"/>
            <w:gridSpan w:val="2"/>
            <w:tcBorders>
              <w:top w:val="single" w:sz="5" w:space="0" w:color="000000"/>
              <w:left w:val="nil"/>
              <w:bottom w:val="single" w:sz="5" w:space="0" w:color="000000"/>
              <w:right w:val="single" w:sz="5" w:space="0" w:color="000000"/>
            </w:tcBorders>
            <w:shd w:val="clear" w:color="auto" w:fill="3366FF"/>
            <w:tcMar>
              <w:top w:w="0" w:type="dxa"/>
              <w:left w:w="100" w:type="dxa"/>
              <w:bottom w:w="0" w:type="dxa"/>
              <w:right w:w="100" w:type="dxa"/>
            </w:tcMar>
          </w:tcPr>
          <w:p w14:paraId="00000107" w14:textId="77777777" w:rsidR="003F1A6D" w:rsidRDefault="00DB5D40">
            <w:pPr>
              <w:pStyle w:val="P68B1DB1-Normln2"/>
              <w:keepNext/>
              <w:keepLines/>
              <w:spacing w:after="0" w:line="240" w:lineRule="auto"/>
              <w:ind w:left="100"/>
              <w:jc w:val="center"/>
              <w:rPr>
                <w:bCs/>
              </w:rPr>
            </w:pPr>
            <w:r>
              <w:t>A</w:t>
            </w:r>
          </w:p>
        </w:tc>
        <w:tc>
          <w:tcPr>
            <w:tcW w:w="2550" w:type="dxa"/>
            <w:gridSpan w:val="2"/>
            <w:tcBorders>
              <w:top w:val="single" w:sz="5" w:space="0" w:color="000000"/>
              <w:left w:val="nil"/>
              <w:bottom w:val="single" w:sz="5" w:space="0" w:color="000000"/>
              <w:right w:val="single" w:sz="5" w:space="0" w:color="000000"/>
            </w:tcBorders>
            <w:shd w:val="clear" w:color="auto" w:fill="3366FF"/>
            <w:tcMar>
              <w:top w:w="0" w:type="dxa"/>
              <w:left w:w="100" w:type="dxa"/>
              <w:bottom w:w="0" w:type="dxa"/>
              <w:right w:w="100" w:type="dxa"/>
            </w:tcMar>
          </w:tcPr>
          <w:p w14:paraId="00000109" w14:textId="77777777" w:rsidR="003F1A6D" w:rsidRDefault="00DB5D40">
            <w:pPr>
              <w:pStyle w:val="P68B1DB1-Normln2"/>
              <w:keepNext/>
              <w:keepLines/>
              <w:spacing w:after="0" w:line="240" w:lineRule="auto"/>
              <w:ind w:left="100"/>
              <w:jc w:val="center"/>
              <w:rPr>
                <w:bCs/>
              </w:rPr>
            </w:pPr>
            <w:r>
              <w:t>B</w:t>
            </w:r>
          </w:p>
        </w:tc>
        <w:tc>
          <w:tcPr>
            <w:tcW w:w="2370" w:type="dxa"/>
            <w:gridSpan w:val="2"/>
            <w:tcBorders>
              <w:top w:val="single" w:sz="5" w:space="0" w:color="000000"/>
              <w:left w:val="nil"/>
              <w:bottom w:val="single" w:sz="5" w:space="0" w:color="000000"/>
              <w:right w:val="single" w:sz="5" w:space="0" w:color="000000"/>
            </w:tcBorders>
            <w:shd w:val="clear" w:color="auto" w:fill="3366FF"/>
            <w:tcMar>
              <w:top w:w="0" w:type="dxa"/>
              <w:left w:w="100" w:type="dxa"/>
              <w:bottom w:w="0" w:type="dxa"/>
              <w:right w:w="100" w:type="dxa"/>
            </w:tcMar>
          </w:tcPr>
          <w:p w14:paraId="0000010B" w14:textId="77777777" w:rsidR="003F1A6D" w:rsidRDefault="00DB5D40">
            <w:pPr>
              <w:pStyle w:val="P68B1DB1-Normln2"/>
              <w:keepNext/>
              <w:keepLines/>
              <w:spacing w:after="0" w:line="240" w:lineRule="auto"/>
              <w:ind w:left="100"/>
              <w:jc w:val="center"/>
              <w:rPr>
                <w:bCs/>
              </w:rPr>
            </w:pPr>
            <w:r>
              <w:t>C</w:t>
            </w:r>
          </w:p>
        </w:tc>
      </w:tr>
      <w:tr w:rsidR="003F1A6D" w14:paraId="21FD63B7" w14:textId="77777777">
        <w:trPr>
          <w:trHeight w:val="465"/>
        </w:trPr>
        <w:tc>
          <w:tcPr>
            <w:tcW w:w="1095" w:type="dxa"/>
            <w:vMerge/>
            <w:tcBorders>
              <w:top w:val="single" w:sz="5" w:space="0" w:color="000000"/>
              <w:left w:val="single" w:sz="5" w:space="0" w:color="000000"/>
              <w:bottom w:val="single" w:sz="5" w:space="0" w:color="000000"/>
              <w:right w:val="single" w:sz="5" w:space="0" w:color="000000"/>
            </w:tcBorders>
            <w:shd w:val="clear" w:color="auto" w:fill="3366FF"/>
            <w:tcMar>
              <w:top w:w="0" w:type="dxa"/>
              <w:left w:w="100" w:type="dxa"/>
              <w:bottom w:w="0" w:type="dxa"/>
              <w:right w:w="100" w:type="dxa"/>
            </w:tcMar>
          </w:tcPr>
          <w:p w14:paraId="0000010D" w14:textId="77777777" w:rsidR="003F1A6D" w:rsidRDefault="003F1A6D">
            <w:pPr>
              <w:widowControl w:val="0"/>
              <w:pBdr>
                <w:top w:val="nil"/>
                <w:left w:val="nil"/>
                <w:bottom w:val="nil"/>
                <w:right w:val="nil"/>
                <w:between w:val="nil"/>
              </w:pBdr>
              <w:spacing w:after="0"/>
              <w:rPr>
                <w:rFonts w:ascii="Arial" w:eastAsia="Arial" w:hAnsi="Arial" w:cs="Arial"/>
                <w:b/>
                <w:bCs/>
              </w:rPr>
            </w:pPr>
          </w:p>
        </w:tc>
        <w:tc>
          <w:tcPr>
            <w:tcW w:w="1380" w:type="dxa"/>
            <w:tcBorders>
              <w:top w:val="nil"/>
              <w:left w:val="nil"/>
              <w:bottom w:val="single" w:sz="5" w:space="0" w:color="000000"/>
              <w:right w:val="single" w:sz="5" w:space="0" w:color="000000"/>
            </w:tcBorders>
            <w:shd w:val="clear" w:color="auto" w:fill="3366FF"/>
            <w:tcMar>
              <w:top w:w="0" w:type="dxa"/>
              <w:left w:w="100" w:type="dxa"/>
              <w:bottom w:w="0" w:type="dxa"/>
              <w:right w:w="100" w:type="dxa"/>
            </w:tcMar>
          </w:tcPr>
          <w:p w14:paraId="0000010E" w14:textId="77777777" w:rsidR="003F1A6D" w:rsidRDefault="00DB5D40">
            <w:pPr>
              <w:pStyle w:val="P68B1DB1-Normln2"/>
              <w:keepNext/>
              <w:keepLines/>
              <w:spacing w:after="0" w:line="240" w:lineRule="auto"/>
              <w:ind w:left="100"/>
              <w:jc w:val="center"/>
              <w:rPr>
                <w:bCs/>
              </w:rPr>
            </w:pPr>
            <w:r>
              <w:t>Reaction</w:t>
            </w:r>
          </w:p>
        </w:tc>
        <w:tc>
          <w:tcPr>
            <w:tcW w:w="1275" w:type="dxa"/>
            <w:tcBorders>
              <w:top w:val="nil"/>
              <w:left w:val="nil"/>
              <w:bottom w:val="single" w:sz="5" w:space="0" w:color="000000"/>
              <w:right w:val="single" w:sz="5" w:space="0" w:color="000000"/>
            </w:tcBorders>
            <w:shd w:val="clear" w:color="auto" w:fill="3366FF"/>
            <w:tcMar>
              <w:top w:w="0" w:type="dxa"/>
              <w:left w:w="100" w:type="dxa"/>
              <w:bottom w:w="0" w:type="dxa"/>
              <w:right w:w="100" w:type="dxa"/>
            </w:tcMar>
          </w:tcPr>
          <w:p w14:paraId="0000010F" w14:textId="77777777" w:rsidR="003F1A6D" w:rsidRDefault="00DB5D40">
            <w:pPr>
              <w:pStyle w:val="P68B1DB1-Normln2"/>
              <w:keepNext/>
              <w:keepLines/>
              <w:spacing w:after="0" w:line="240" w:lineRule="auto"/>
              <w:ind w:left="100"/>
              <w:jc w:val="center"/>
              <w:rPr>
                <w:bCs/>
              </w:rPr>
            </w:pPr>
            <w:r>
              <w:t>Resolution</w:t>
            </w:r>
          </w:p>
        </w:tc>
        <w:tc>
          <w:tcPr>
            <w:tcW w:w="1275" w:type="dxa"/>
            <w:tcBorders>
              <w:top w:val="nil"/>
              <w:left w:val="nil"/>
              <w:bottom w:val="single" w:sz="5" w:space="0" w:color="000000"/>
              <w:right w:val="single" w:sz="5" w:space="0" w:color="000000"/>
            </w:tcBorders>
            <w:shd w:val="clear" w:color="auto" w:fill="3366FF"/>
            <w:tcMar>
              <w:top w:w="0" w:type="dxa"/>
              <w:left w:w="100" w:type="dxa"/>
              <w:bottom w:w="0" w:type="dxa"/>
              <w:right w:w="100" w:type="dxa"/>
            </w:tcMar>
          </w:tcPr>
          <w:p w14:paraId="00000110" w14:textId="77777777" w:rsidR="003F1A6D" w:rsidRDefault="00DB5D40">
            <w:pPr>
              <w:pStyle w:val="P68B1DB1-Normln2"/>
              <w:keepNext/>
              <w:keepLines/>
              <w:spacing w:after="0" w:line="240" w:lineRule="auto"/>
              <w:ind w:left="100"/>
              <w:jc w:val="center"/>
              <w:rPr>
                <w:bCs/>
              </w:rPr>
            </w:pPr>
            <w:r>
              <w:t>Reaction</w:t>
            </w:r>
          </w:p>
        </w:tc>
        <w:tc>
          <w:tcPr>
            <w:tcW w:w="1275" w:type="dxa"/>
            <w:tcBorders>
              <w:top w:val="nil"/>
              <w:left w:val="nil"/>
              <w:bottom w:val="single" w:sz="5" w:space="0" w:color="000000"/>
              <w:right w:val="single" w:sz="5" w:space="0" w:color="000000"/>
            </w:tcBorders>
            <w:shd w:val="clear" w:color="auto" w:fill="3366FF"/>
            <w:tcMar>
              <w:top w:w="0" w:type="dxa"/>
              <w:left w:w="100" w:type="dxa"/>
              <w:bottom w:w="0" w:type="dxa"/>
              <w:right w:w="100" w:type="dxa"/>
            </w:tcMar>
          </w:tcPr>
          <w:p w14:paraId="00000111" w14:textId="77777777" w:rsidR="003F1A6D" w:rsidRDefault="00DB5D40">
            <w:pPr>
              <w:pStyle w:val="P68B1DB1-Normln2"/>
              <w:keepNext/>
              <w:keepLines/>
              <w:spacing w:after="0" w:line="240" w:lineRule="auto"/>
              <w:ind w:left="100"/>
              <w:jc w:val="center"/>
              <w:rPr>
                <w:bCs/>
              </w:rPr>
            </w:pPr>
            <w:r>
              <w:t>Resolution</w:t>
            </w:r>
          </w:p>
        </w:tc>
        <w:tc>
          <w:tcPr>
            <w:tcW w:w="990" w:type="dxa"/>
            <w:tcBorders>
              <w:top w:val="nil"/>
              <w:left w:val="nil"/>
              <w:bottom w:val="single" w:sz="5" w:space="0" w:color="000000"/>
              <w:right w:val="single" w:sz="5" w:space="0" w:color="000000"/>
            </w:tcBorders>
            <w:shd w:val="clear" w:color="auto" w:fill="3366FF"/>
            <w:tcMar>
              <w:top w:w="0" w:type="dxa"/>
              <w:left w:w="100" w:type="dxa"/>
              <w:bottom w:w="0" w:type="dxa"/>
              <w:right w:w="100" w:type="dxa"/>
            </w:tcMar>
          </w:tcPr>
          <w:p w14:paraId="00000112" w14:textId="77777777" w:rsidR="003F1A6D" w:rsidRDefault="00DB5D40">
            <w:pPr>
              <w:pStyle w:val="P68B1DB1-Normln2"/>
              <w:keepNext/>
              <w:keepLines/>
              <w:spacing w:after="0" w:line="240" w:lineRule="auto"/>
              <w:ind w:left="100"/>
              <w:jc w:val="center"/>
              <w:rPr>
                <w:bCs/>
              </w:rPr>
            </w:pPr>
            <w:r>
              <w:t>Reaction</w:t>
            </w:r>
          </w:p>
        </w:tc>
        <w:tc>
          <w:tcPr>
            <w:tcW w:w="1380" w:type="dxa"/>
            <w:tcBorders>
              <w:top w:val="nil"/>
              <w:left w:val="nil"/>
              <w:bottom w:val="single" w:sz="5" w:space="0" w:color="000000"/>
              <w:right w:val="single" w:sz="5" w:space="0" w:color="000000"/>
            </w:tcBorders>
            <w:shd w:val="clear" w:color="auto" w:fill="3366FF"/>
            <w:tcMar>
              <w:top w:w="0" w:type="dxa"/>
              <w:left w:w="100" w:type="dxa"/>
              <w:bottom w:w="0" w:type="dxa"/>
              <w:right w:w="100" w:type="dxa"/>
            </w:tcMar>
          </w:tcPr>
          <w:p w14:paraId="00000113" w14:textId="77777777" w:rsidR="003F1A6D" w:rsidRDefault="00DB5D40">
            <w:pPr>
              <w:pStyle w:val="P68B1DB1-Normln2"/>
              <w:keepNext/>
              <w:keepLines/>
              <w:spacing w:after="0" w:line="240" w:lineRule="auto"/>
              <w:ind w:left="100"/>
              <w:jc w:val="center"/>
              <w:rPr>
                <w:bCs/>
              </w:rPr>
            </w:pPr>
            <w:r>
              <w:t>Resolution</w:t>
            </w:r>
          </w:p>
        </w:tc>
      </w:tr>
      <w:tr w:rsidR="003F1A6D" w14:paraId="10E73322" w14:textId="77777777">
        <w:trPr>
          <w:trHeight w:val="525"/>
        </w:trPr>
        <w:tc>
          <w:tcPr>
            <w:tcW w:w="1095" w:type="dxa"/>
            <w:tcBorders>
              <w:top w:val="nil"/>
              <w:left w:val="single" w:sz="5" w:space="0" w:color="000000"/>
              <w:bottom w:val="nil"/>
              <w:right w:val="single" w:sz="5" w:space="0" w:color="000000"/>
            </w:tcBorders>
            <w:tcMar>
              <w:top w:w="0" w:type="dxa"/>
              <w:left w:w="100" w:type="dxa"/>
              <w:bottom w:w="0" w:type="dxa"/>
              <w:right w:w="100" w:type="dxa"/>
            </w:tcMar>
          </w:tcPr>
          <w:p w14:paraId="00000114" w14:textId="77777777" w:rsidR="003F1A6D" w:rsidRDefault="00DB5D40">
            <w:pPr>
              <w:pStyle w:val="P68B1DB1-Normln2"/>
              <w:keepNext/>
              <w:keepLines/>
              <w:spacing w:after="0"/>
              <w:ind w:left="100"/>
              <w:rPr>
                <w:bCs/>
              </w:rPr>
            </w:pPr>
            <w:r>
              <w:t>1</w:t>
            </w:r>
          </w:p>
        </w:tc>
        <w:tc>
          <w:tcPr>
            <w:tcW w:w="1380" w:type="dxa"/>
            <w:tcBorders>
              <w:top w:val="nil"/>
              <w:left w:val="nil"/>
              <w:bottom w:val="nil"/>
              <w:right w:val="single" w:sz="5" w:space="0" w:color="000000"/>
            </w:tcBorders>
            <w:tcMar>
              <w:top w:w="0" w:type="dxa"/>
              <w:left w:w="100" w:type="dxa"/>
              <w:bottom w:w="0" w:type="dxa"/>
              <w:right w:w="100" w:type="dxa"/>
            </w:tcMar>
          </w:tcPr>
          <w:p w14:paraId="00000115" w14:textId="77777777" w:rsidR="003F1A6D" w:rsidRDefault="00DB5D40">
            <w:pPr>
              <w:pStyle w:val="P68B1DB1-Normln2"/>
              <w:keepNext/>
              <w:keepLines/>
              <w:spacing w:after="0" w:line="240" w:lineRule="auto"/>
              <w:ind w:left="100"/>
              <w:rPr>
                <w:bCs/>
              </w:rPr>
            </w:pPr>
            <w:r>
              <w:t>1 hour</w:t>
            </w:r>
          </w:p>
        </w:tc>
        <w:tc>
          <w:tcPr>
            <w:tcW w:w="1275" w:type="dxa"/>
            <w:tcBorders>
              <w:top w:val="nil"/>
              <w:left w:val="nil"/>
              <w:bottom w:val="nil"/>
              <w:right w:val="single" w:sz="5" w:space="0" w:color="000000"/>
            </w:tcBorders>
            <w:tcMar>
              <w:top w:w="0" w:type="dxa"/>
              <w:left w:w="100" w:type="dxa"/>
              <w:bottom w:w="0" w:type="dxa"/>
              <w:right w:w="100" w:type="dxa"/>
            </w:tcMar>
          </w:tcPr>
          <w:p w14:paraId="00000116" w14:textId="77777777" w:rsidR="003F1A6D" w:rsidRDefault="00DB5D40">
            <w:pPr>
              <w:pStyle w:val="P68B1DB1-Normln2"/>
              <w:keepNext/>
              <w:keepLines/>
              <w:spacing w:after="0" w:line="240" w:lineRule="auto"/>
              <w:ind w:left="100"/>
              <w:rPr>
                <w:bCs/>
              </w:rPr>
            </w:pPr>
            <w:r>
              <w:t>4 hours</w:t>
            </w:r>
          </w:p>
        </w:tc>
        <w:tc>
          <w:tcPr>
            <w:tcW w:w="1275" w:type="dxa"/>
            <w:tcBorders>
              <w:top w:val="nil"/>
              <w:left w:val="nil"/>
              <w:bottom w:val="nil"/>
              <w:right w:val="single" w:sz="5" w:space="0" w:color="000000"/>
            </w:tcBorders>
            <w:tcMar>
              <w:top w:w="0" w:type="dxa"/>
              <w:left w:w="100" w:type="dxa"/>
              <w:bottom w:w="0" w:type="dxa"/>
              <w:right w:w="100" w:type="dxa"/>
            </w:tcMar>
          </w:tcPr>
          <w:p w14:paraId="00000117" w14:textId="77777777" w:rsidR="003F1A6D" w:rsidRDefault="00DB5D40">
            <w:pPr>
              <w:pStyle w:val="P68B1DB1-Normln2"/>
              <w:keepNext/>
              <w:keepLines/>
              <w:spacing w:after="0" w:line="240" w:lineRule="auto"/>
              <w:ind w:left="100"/>
              <w:rPr>
                <w:bCs/>
              </w:rPr>
            </w:pPr>
            <w:r>
              <w:t>4 hours</w:t>
            </w:r>
          </w:p>
        </w:tc>
        <w:tc>
          <w:tcPr>
            <w:tcW w:w="1275" w:type="dxa"/>
            <w:tcBorders>
              <w:top w:val="nil"/>
              <w:left w:val="nil"/>
              <w:bottom w:val="nil"/>
              <w:right w:val="single" w:sz="5" w:space="0" w:color="000000"/>
            </w:tcBorders>
            <w:tcMar>
              <w:top w:w="0" w:type="dxa"/>
              <w:left w:w="100" w:type="dxa"/>
              <w:bottom w:w="0" w:type="dxa"/>
              <w:right w:w="100" w:type="dxa"/>
            </w:tcMar>
          </w:tcPr>
          <w:p w14:paraId="00000118" w14:textId="77777777" w:rsidR="003F1A6D" w:rsidRDefault="00DB5D40">
            <w:pPr>
              <w:pStyle w:val="P68B1DB1-Normln2"/>
              <w:keepNext/>
              <w:keepLines/>
              <w:spacing w:after="0" w:line="240" w:lineRule="auto"/>
              <w:ind w:left="100"/>
              <w:rPr>
                <w:bCs/>
              </w:rPr>
            </w:pPr>
            <w:r>
              <w:t>12 hours</w:t>
            </w:r>
          </w:p>
        </w:tc>
        <w:tc>
          <w:tcPr>
            <w:tcW w:w="990" w:type="dxa"/>
            <w:tcBorders>
              <w:top w:val="nil"/>
              <w:left w:val="nil"/>
              <w:bottom w:val="nil"/>
              <w:right w:val="single" w:sz="5" w:space="0" w:color="000000"/>
            </w:tcBorders>
            <w:tcMar>
              <w:top w:w="0" w:type="dxa"/>
              <w:left w:w="100" w:type="dxa"/>
              <w:bottom w:w="0" w:type="dxa"/>
              <w:right w:w="100" w:type="dxa"/>
            </w:tcMar>
          </w:tcPr>
          <w:p w14:paraId="00000119" w14:textId="77777777" w:rsidR="003F1A6D" w:rsidRDefault="00DB5D40">
            <w:pPr>
              <w:pStyle w:val="P68B1DB1-Normln2"/>
              <w:keepNext/>
              <w:keepLines/>
              <w:spacing w:after="0" w:line="240" w:lineRule="auto"/>
              <w:ind w:left="100"/>
              <w:rPr>
                <w:bCs/>
              </w:rPr>
            </w:pPr>
            <w:r>
              <w:t>NBD</w:t>
            </w:r>
          </w:p>
        </w:tc>
        <w:tc>
          <w:tcPr>
            <w:tcW w:w="1380" w:type="dxa"/>
            <w:tcBorders>
              <w:top w:val="nil"/>
              <w:left w:val="nil"/>
              <w:bottom w:val="nil"/>
              <w:right w:val="single" w:sz="5" w:space="0" w:color="000000"/>
            </w:tcBorders>
            <w:tcMar>
              <w:top w:w="0" w:type="dxa"/>
              <w:left w:w="100" w:type="dxa"/>
              <w:bottom w:w="0" w:type="dxa"/>
              <w:right w:w="100" w:type="dxa"/>
            </w:tcMar>
          </w:tcPr>
          <w:p w14:paraId="0000011A" w14:textId="77777777" w:rsidR="003F1A6D" w:rsidRDefault="00DB5D40">
            <w:pPr>
              <w:pStyle w:val="P68B1DB1-Normln2"/>
              <w:keepNext/>
              <w:keepLines/>
              <w:spacing w:after="0" w:line="240" w:lineRule="auto"/>
              <w:ind w:left="100"/>
              <w:rPr>
                <w:bCs/>
              </w:rPr>
            </w:pPr>
            <w:r>
              <w:t>10 working days</w:t>
            </w:r>
          </w:p>
        </w:tc>
      </w:tr>
      <w:tr w:rsidR="003F1A6D" w14:paraId="10A1560D" w14:textId="77777777">
        <w:trPr>
          <w:trHeight w:val="525"/>
        </w:trPr>
        <w:tc>
          <w:tcPr>
            <w:tcW w:w="109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000011B" w14:textId="77777777" w:rsidR="003F1A6D" w:rsidRDefault="003F1A6D">
            <w:pPr>
              <w:keepNext/>
              <w:keepLines/>
              <w:spacing w:after="0"/>
              <w:ind w:left="100"/>
              <w:rPr>
                <w:rFonts w:ascii="Arial" w:eastAsia="Arial" w:hAnsi="Arial" w:cs="Arial"/>
                <w:b/>
                <w:bCs/>
              </w:rPr>
            </w:pPr>
          </w:p>
        </w:tc>
        <w:tc>
          <w:tcPr>
            <w:tcW w:w="1380" w:type="dxa"/>
            <w:tcBorders>
              <w:top w:val="nil"/>
              <w:left w:val="nil"/>
              <w:bottom w:val="single" w:sz="5" w:space="0" w:color="000000"/>
              <w:right w:val="single" w:sz="5" w:space="0" w:color="000000"/>
            </w:tcBorders>
            <w:tcMar>
              <w:top w:w="0" w:type="dxa"/>
              <w:left w:w="100" w:type="dxa"/>
              <w:bottom w:w="0" w:type="dxa"/>
              <w:right w:w="100" w:type="dxa"/>
            </w:tcMar>
          </w:tcPr>
          <w:p w14:paraId="0000011C" w14:textId="77777777" w:rsidR="003F1A6D" w:rsidRDefault="003F1A6D">
            <w:pPr>
              <w:keepNext/>
              <w:keepLines/>
              <w:spacing w:after="0" w:line="240" w:lineRule="auto"/>
              <w:ind w:left="100"/>
              <w:rPr>
                <w:rFonts w:ascii="Arial" w:eastAsia="Arial" w:hAnsi="Arial" w:cs="Arial"/>
                <w:b/>
                <w:bCs/>
              </w:rPr>
            </w:pPr>
          </w:p>
        </w:tc>
        <w:tc>
          <w:tcPr>
            <w:tcW w:w="1275" w:type="dxa"/>
            <w:tcBorders>
              <w:top w:val="nil"/>
              <w:left w:val="nil"/>
              <w:bottom w:val="single" w:sz="5" w:space="0" w:color="000000"/>
              <w:right w:val="single" w:sz="5" w:space="0" w:color="000000"/>
            </w:tcBorders>
            <w:tcMar>
              <w:top w:w="0" w:type="dxa"/>
              <w:left w:w="100" w:type="dxa"/>
              <w:bottom w:w="0" w:type="dxa"/>
              <w:right w:w="100" w:type="dxa"/>
            </w:tcMar>
          </w:tcPr>
          <w:p w14:paraId="0000011D" w14:textId="77777777" w:rsidR="003F1A6D" w:rsidRDefault="003F1A6D">
            <w:pPr>
              <w:keepNext/>
              <w:keepLines/>
              <w:spacing w:after="0" w:line="240" w:lineRule="auto"/>
              <w:ind w:left="100"/>
              <w:rPr>
                <w:rFonts w:ascii="Arial" w:eastAsia="Arial" w:hAnsi="Arial" w:cs="Arial"/>
                <w:b/>
                <w:bCs/>
              </w:rPr>
            </w:pPr>
          </w:p>
        </w:tc>
        <w:tc>
          <w:tcPr>
            <w:tcW w:w="1275" w:type="dxa"/>
            <w:tcBorders>
              <w:top w:val="nil"/>
              <w:left w:val="nil"/>
              <w:bottom w:val="single" w:sz="5" w:space="0" w:color="000000"/>
              <w:right w:val="single" w:sz="5" w:space="0" w:color="000000"/>
            </w:tcBorders>
            <w:tcMar>
              <w:top w:w="0" w:type="dxa"/>
              <w:left w:w="100" w:type="dxa"/>
              <w:bottom w:w="0" w:type="dxa"/>
              <w:right w:w="100" w:type="dxa"/>
            </w:tcMar>
          </w:tcPr>
          <w:p w14:paraId="0000011E" w14:textId="77777777" w:rsidR="003F1A6D" w:rsidRDefault="003F1A6D">
            <w:pPr>
              <w:keepNext/>
              <w:keepLines/>
              <w:spacing w:after="0" w:line="240" w:lineRule="auto"/>
              <w:ind w:left="100"/>
              <w:rPr>
                <w:rFonts w:ascii="Arial" w:eastAsia="Arial" w:hAnsi="Arial" w:cs="Arial"/>
                <w:b/>
                <w:bCs/>
              </w:rPr>
            </w:pPr>
          </w:p>
        </w:tc>
        <w:tc>
          <w:tcPr>
            <w:tcW w:w="1275" w:type="dxa"/>
            <w:tcBorders>
              <w:top w:val="nil"/>
              <w:left w:val="nil"/>
              <w:bottom w:val="single" w:sz="5" w:space="0" w:color="000000"/>
              <w:right w:val="single" w:sz="5" w:space="0" w:color="000000"/>
            </w:tcBorders>
            <w:tcMar>
              <w:top w:w="0" w:type="dxa"/>
              <w:left w:w="100" w:type="dxa"/>
              <w:bottom w:w="0" w:type="dxa"/>
              <w:right w:w="100" w:type="dxa"/>
            </w:tcMar>
          </w:tcPr>
          <w:p w14:paraId="0000011F" w14:textId="77777777" w:rsidR="003F1A6D" w:rsidRDefault="003F1A6D">
            <w:pPr>
              <w:keepNext/>
              <w:keepLines/>
              <w:spacing w:after="0" w:line="240" w:lineRule="auto"/>
              <w:ind w:left="100"/>
              <w:rPr>
                <w:rFonts w:ascii="Arial" w:eastAsia="Arial" w:hAnsi="Arial" w:cs="Arial"/>
                <w:b/>
                <w:bCs/>
              </w:rPr>
            </w:pPr>
          </w:p>
        </w:tc>
        <w:tc>
          <w:tcPr>
            <w:tcW w:w="990" w:type="dxa"/>
            <w:tcBorders>
              <w:top w:val="nil"/>
              <w:left w:val="nil"/>
              <w:bottom w:val="single" w:sz="5" w:space="0" w:color="000000"/>
              <w:right w:val="single" w:sz="5" w:space="0" w:color="000000"/>
            </w:tcBorders>
            <w:tcMar>
              <w:top w:w="0" w:type="dxa"/>
              <w:left w:w="100" w:type="dxa"/>
              <w:bottom w:w="0" w:type="dxa"/>
              <w:right w:w="100" w:type="dxa"/>
            </w:tcMar>
          </w:tcPr>
          <w:p w14:paraId="00000120" w14:textId="77777777" w:rsidR="003F1A6D" w:rsidRDefault="003F1A6D">
            <w:pPr>
              <w:keepNext/>
              <w:keepLines/>
              <w:spacing w:after="0" w:line="240" w:lineRule="auto"/>
              <w:ind w:left="100"/>
              <w:rPr>
                <w:rFonts w:ascii="Arial" w:eastAsia="Arial" w:hAnsi="Arial" w:cs="Arial"/>
                <w:b/>
                <w:bCs/>
              </w:rPr>
            </w:pPr>
          </w:p>
        </w:tc>
        <w:tc>
          <w:tcPr>
            <w:tcW w:w="1380" w:type="dxa"/>
            <w:tcBorders>
              <w:top w:val="nil"/>
              <w:left w:val="nil"/>
              <w:bottom w:val="single" w:sz="5" w:space="0" w:color="000000"/>
              <w:right w:val="single" w:sz="5" w:space="0" w:color="000000"/>
            </w:tcBorders>
            <w:tcMar>
              <w:top w:w="0" w:type="dxa"/>
              <w:left w:w="100" w:type="dxa"/>
              <w:bottom w:w="0" w:type="dxa"/>
              <w:right w:w="100" w:type="dxa"/>
            </w:tcMar>
          </w:tcPr>
          <w:p w14:paraId="00000121" w14:textId="77777777" w:rsidR="003F1A6D" w:rsidRDefault="003F1A6D">
            <w:pPr>
              <w:keepNext/>
              <w:keepLines/>
              <w:spacing w:after="0" w:line="240" w:lineRule="auto"/>
              <w:ind w:left="100"/>
              <w:rPr>
                <w:rFonts w:ascii="Arial" w:eastAsia="Arial" w:hAnsi="Arial" w:cs="Arial"/>
                <w:b/>
                <w:bCs/>
              </w:rPr>
            </w:pPr>
          </w:p>
        </w:tc>
      </w:tr>
      <w:tr w:rsidR="003F1A6D" w14:paraId="186EFB21" w14:textId="77777777">
        <w:trPr>
          <w:trHeight w:val="525"/>
        </w:trPr>
        <w:tc>
          <w:tcPr>
            <w:tcW w:w="109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0000122" w14:textId="77777777" w:rsidR="003F1A6D" w:rsidRDefault="00DB5D40">
            <w:pPr>
              <w:pStyle w:val="P68B1DB1-Normln2"/>
              <w:keepNext/>
              <w:keepLines/>
              <w:spacing w:after="0"/>
              <w:ind w:left="100"/>
              <w:rPr>
                <w:bCs/>
              </w:rPr>
            </w:pPr>
            <w:r>
              <w:t>2</w:t>
            </w:r>
          </w:p>
        </w:tc>
        <w:tc>
          <w:tcPr>
            <w:tcW w:w="1380" w:type="dxa"/>
            <w:tcBorders>
              <w:top w:val="nil"/>
              <w:left w:val="nil"/>
              <w:bottom w:val="single" w:sz="5" w:space="0" w:color="000000"/>
              <w:right w:val="single" w:sz="5" w:space="0" w:color="000000"/>
            </w:tcBorders>
            <w:tcMar>
              <w:top w:w="0" w:type="dxa"/>
              <w:left w:w="100" w:type="dxa"/>
              <w:bottom w:w="0" w:type="dxa"/>
              <w:right w:w="100" w:type="dxa"/>
            </w:tcMar>
          </w:tcPr>
          <w:p w14:paraId="00000123" w14:textId="77777777" w:rsidR="003F1A6D" w:rsidRDefault="00DB5D40">
            <w:pPr>
              <w:pStyle w:val="P68B1DB1-Normln2"/>
              <w:keepNext/>
              <w:keepLines/>
              <w:spacing w:after="0" w:line="240" w:lineRule="auto"/>
              <w:ind w:left="100"/>
              <w:rPr>
                <w:bCs/>
              </w:rPr>
            </w:pPr>
            <w:r>
              <w:t>4 hours</w:t>
            </w:r>
          </w:p>
        </w:tc>
        <w:tc>
          <w:tcPr>
            <w:tcW w:w="1275" w:type="dxa"/>
            <w:tcBorders>
              <w:top w:val="nil"/>
              <w:left w:val="nil"/>
              <w:bottom w:val="single" w:sz="5" w:space="0" w:color="000000"/>
              <w:right w:val="single" w:sz="5" w:space="0" w:color="000000"/>
            </w:tcBorders>
            <w:tcMar>
              <w:top w:w="0" w:type="dxa"/>
              <w:left w:w="100" w:type="dxa"/>
              <w:bottom w:w="0" w:type="dxa"/>
              <w:right w:w="100" w:type="dxa"/>
            </w:tcMar>
          </w:tcPr>
          <w:p w14:paraId="00000124" w14:textId="77777777" w:rsidR="003F1A6D" w:rsidRDefault="00DB5D40">
            <w:pPr>
              <w:pStyle w:val="P68B1DB1-Normln2"/>
              <w:keepNext/>
              <w:keepLines/>
              <w:spacing w:after="0" w:line="240" w:lineRule="auto"/>
              <w:ind w:left="100"/>
              <w:rPr>
                <w:bCs/>
              </w:rPr>
            </w:pPr>
            <w:r>
              <w:t>12 hours</w:t>
            </w:r>
          </w:p>
        </w:tc>
        <w:tc>
          <w:tcPr>
            <w:tcW w:w="1275" w:type="dxa"/>
            <w:tcBorders>
              <w:top w:val="nil"/>
              <w:left w:val="nil"/>
              <w:bottom w:val="single" w:sz="5" w:space="0" w:color="000000"/>
              <w:right w:val="single" w:sz="5" w:space="0" w:color="000000"/>
            </w:tcBorders>
            <w:tcMar>
              <w:top w:w="0" w:type="dxa"/>
              <w:left w:w="100" w:type="dxa"/>
              <w:bottom w:w="0" w:type="dxa"/>
              <w:right w:w="100" w:type="dxa"/>
            </w:tcMar>
          </w:tcPr>
          <w:p w14:paraId="00000125" w14:textId="77777777" w:rsidR="003F1A6D" w:rsidRDefault="00DB5D40">
            <w:pPr>
              <w:pStyle w:val="P68B1DB1-Normln2"/>
              <w:keepNext/>
              <w:keepLines/>
              <w:spacing w:after="0" w:line="240" w:lineRule="auto"/>
              <w:ind w:left="100"/>
              <w:rPr>
                <w:bCs/>
              </w:rPr>
            </w:pPr>
            <w:r>
              <w:t>NBD</w:t>
            </w:r>
          </w:p>
        </w:tc>
        <w:tc>
          <w:tcPr>
            <w:tcW w:w="1275" w:type="dxa"/>
            <w:tcBorders>
              <w:top w:val="nil"/>
              <w:left w:val="nil"/>
              <w:bottom w:val="single" w:sz="5" w:space="0" w:color="000000"/>
              <w:right w:val="single" w:sz="5" w:space="0" w:color="000000"/>
            </w:tcBorders>
            <w:tcMar>
              <w:top w:w="0" w:type="dxa"/>
              <w:left w:w="100" w:type="dxa"/>
              <w:bottom w:w="0" w:type="dxa"/>
              <w:right w:w="100" w:type="dxa"/>
            </w:tcMar>
          </w:tcPr>
          <w:p w14:paraId="00000126" w14:textId="77777777" w:rsidR="003F1A6D" w:rsidRDefault="00DB5D40">
            <w:pPr>
              <w:pStyle w:val="P68B1DB1-Normln2"/>
              <w:keepNext/>
              <w:keepLines/>
              <w:spacing w:after="0" w:line="240" w:lineRule="auto"/>
              <w:ind w:left="100"/>
              <w:rPr>
                <w:bCs/>
              </w:rPr>
            </w:pPr>
            <w:r>
              <w:t>10 working days</w:t>
            </w:r>
          </w:p>
        </w:tc>
        <w:tc>
          <w:tcPr>
            <w:tcW w:w="990" w:type="dxa"/>
            <w:tcBorders>
              <w:top w:val="nil"/>
              <w:left w:val="nil"/>
              <w:bottom w:val="single" w:sz="5" w:space="0" w:color="000000"/>
              <w:right w:val="single" w:sz="5" w:space="0" w:color="000000"/>
            </w:tcBorders>
            <w:tcMar>
              <w:top w:w="0" w:type="dxa"/>
              <w:left w:w="100" w:type="dxa"/>
              <w:bottom w:w="0" w:type="dxa"/>
              <w:right w:w="100" w:type="dxa"/>
            </w:tcMar>
          </w:tcPr>
          <w:p w14:paraId="00000127" w14:textId="77777777" w:rsidR="003F1A6D" w:rsidRDefault="00DB5D40">
            <w:pPr>
              <w:pStyle w:val="P68B1DB1-Normln2"/>
              <w:keepNext/>
              <w:keepLines/>
              <w:spacing w:after="0" w:line="240" w:lineRule="auto"/>
              <w:ind w:left="100"/>
              <w:rPr>
                <w:bCs/>
              </w:rPr>
            </w:pPr>
            <w:r>
              <w:t>NBD</w:t>
            </w:r>
          </w:p>
        </w:tc>
        <w:tc>
          <w:tcPr>
            <w:tcW w:w="1380" w:type="dxa"/>
            <w:tcBorders>
              <w:top w:val="nil"/>
              <w:left w:val="nil"/>
              <w:bottom w:val="single" w:sz="5" w:space="0" w:color="000000"/>
              <w:right w:val="single" w:sz="5" w:space="0" w:color="000000"/>
            </w:tcBorders>
            <w:tcMar>
              <w:top w:w="0" w:type="dxa"/>
              <w:left w:w="100" w:type="dxa"/>
              <w:bottom w:w="0" w:type="dxa"/>
              <w:right w:w="100" w:type="dxa"/>
            </w:tcMar>
          </w:tcPr>
          <w:p w14:paraId="00000128" w14:textId="77777777" w:rsidR="003F1A6D" w:rsidRDefault="00DB5D40">
            <w:pPr>
              <w:pStyle w:val="P68B1DB1-Normln2"/>
              <w:keepNext/>
              <w:keepLines/>
              <w:spacing w:after="0" w:line="240" w:lineRule="auto"/>
              <w:ind w:left="100"/>
              <w:rPr>
                <w:bCs/>
              </w:rPr>
            </w:pPr>
            <w:r>
              <w:t>20 working days</w:t>
            </w:r>
          </w:p>
        </w:tc>
      </w:tr>
      <w:tr w:rsidR="003F1A6D" w14:paraId="74A4E29F" w14:textId="77777777">
        <w:trPr>
          <w:trHeight w:val="525"/>
        </w:trPr>
        <w:tc>
          <w:tcPr>
            <w:tcW w:w="109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00000129" w14:textId="77777777" w:rsidR="003F1A6D" w:rsidRDefault="00DB5D40">
            <w:pPr>
              <w:pStyle w:val="P68B1DB1-Normln2"/>
              <w:keepNext/>
              <w:keepLines/>
              <w:spacing w:after="0"/>
              <w:ind w:left="100"/>
              <w:rPr>
                <w:bCs/>
              </w:rPr>
            </w:pPr>
            <w:r>
              <w:t>3</w:t>
            </w:r>
          </w:p>
        </w:tc>
        <w:tc>
          <w:tcPr>
            <w:tcW w:w="1380" w:type="dxa"/>
            <w:tcBorders>
              <w:top w:val="nil"/>
              <w:left w:val="nil"/>
              <w:bottom w:val="single" w:sz="5" w:space="0" w:color="000000"/>
              <w:right w:val="single" w:sz="5" w:space="0" w:color="000000"/>
            </w:tcBorders>
            <w:tcMar>
              <w:top w:w="0" w:type="dxa"/>
              <w:left w:w="100" w:type="dxa"/>
              <w:bottom w:w="0" w:type="dxa"/>
              <w:right w:w="100" w:type="dxa"/>
            </w:tcMar>
          </w:tcPr>
          <w:p w14:paraId="0000012A" w14:textId="77777777" w:rsidR="003F1A6D" w:rsidRDefault="00DB5D40">
            <w:pPr>
              <w:pStyle w:val="P68B1DB1-Normln2"/>
              <w:keepNext/>
              <w:keepLines/>
              <w:spacing w:after="0" w:line="240" w:lineRule="auto"/>
              <w:ind w:left="100"/>
              <w:rPr>
                <w:bCs/>
              </w:rPr>
            </w:pPr>
            <w:r>
              <w:t>NBD</w:t>
            </w:r>
          </w:p>
        </w:tc>
        <w:tc>
          <w:tcPr>
            <w:tcW w:w="1275" w:type="dxa"/>
            <w:tcBorders>
              <w:top w:val="nil"/>
              <w:left w:val="nil"/>
              <w:bottom w:val="single" w:sz="5" w:space="0" w:color="000000"/>
              <w:right w:val="single" w:sz="5" w:space="0" w:color="000000"/>
            </w:tcBorders>
            <w:tcMar>
              <w:top w:w="0" w:type="dxa"/>
              <w:left w:w="100" w:type="dxa"/>
              <w:bottom w:w="0" w:type="dxa"/>
              <w:right w:w="100" w:type="dxa"/>
            </w:tcMar>
          </w:tcPr>
          <w:p w14:paraId="0000012B" w14:textId="77777777" w:rsidR="003F1A6D" w:rsidRDefault="00DB5D40">
            <w:pPr>
              <w:pStyle w:val="P68B1DB1-Normln2"/>
              <w:keepNext/>
              <w:keepLines/>
              <w:spacing w:after="0" w:line="240" w:lineRule="auto"/>
              <w:ind w:left="100"/>
              <w:rPr>
                <w:bCs/>
              </w:rPr>
            </w:pPr>
            <w:r>
              <w:t>10 working days</w:t>
            </w:r>
          </w:p>
        </w:tc>
        <w:tc>
          <w:tcPr>
            <w:tcW w:w="1275" w:type="dxa"/>
            <w:tcBorders>
              <w:top w:val="nil"/>
              <w:left w:val="nil"/>
              <w:bottom w:val="single" w:sz="5" w:space="0" w:color="000000"/>
              <w:right w:val="single" w:sz="5" w:space="0" w:color="000000"/>
            </w:tcBorders>
            <w:tcMar>
              <w:top w:w="0" w:type="dxa"/>
              <w:left w:w="100" w:type="dxa"/>
              <w:bottom w:w="0" w:type="dxa"/>
              <w:right w:w="100" w:type="dxa"/>
            </w:tcMar>
          </w:tcPr>
          <w:p w14:paraId="0000012C" w14:textId="77777777" w:rsidR="003F1A6D" w:rsidRDefault="00DB5D40">
            <w:pPr>
              <w:pStyle w:val="P68B1DB1-Normln2"/>
              <w:keepNext/>
              <w:keepLines/>
              <w:spacing w:after="0" w:line="240" w:lineRule="auto"/>
              <w:ind w:left="100"/>
              <w:rPr>
                <w:bCs/>
              </w:rPr>
            </w:pPr>
            <w:r>
              <w:t>NBD</w:t>
            </w:r>
          </w:p>
        </w:tc>
        <w:tc>
          <w:tcPr>
            <w:tcW w:w="1275" w:type="dxa"/>
            <w:tcBorders>
              <w:top w:val="nil"/>
              <w:left w:val="nil"/>
              <w:bottom w:val="single" w:sz="5" w:space="0" w:color="000000"/>
              <w:right w:val="single" w:sz="5" w:space="0" w:color="000000"/>
            </w:tcBorders>
            <w:tcMar>
              <w:top w:w="0" w:type="dxa"/>
              <w:left w:w="100" w:type="dxa"/>
              <w:bottom w:w="0" w:type="dxa"/>
              <w:right w:w="100" w:type="dxa"/>
            </w:tcMar>
          </w:tcPr>
          <w:p w14:paraId="0000012D" w14:textId="77777777" w:rsidR="003F1A6D" w:rsidRDefault="00DB5D40">
            <w:pPr>
              <w:pStyle w:val="P68B1DB1-Normln2"/>
              <w:keepNext/>
              <w:keepLines/>
              <w:spacing w:after="0" w:line="240" w:lineRule="auto"/>
              <w:ind w:left="100"/>
              <w:rPr>
                <w:bCs/>
              </w:rPr>
            </w:pPr>
            <w:r>
              <w:t>20 working days</w:t>
            </w:r>
          </w:p>
        </w:tc>
        <w:tc>
          <w:tcPr>
            <w:tcW w:w="990" w:type="dxa"/>
            <w:tcBorders>
              <w:top w:val="nil"/>
              <w:left w:val="nil"/>
              <w:bottom w:val="single" w:sz="5" w:space="0" w:color="000000"/>
              <w:right w:val="single" w:sz="5" w:space="0" w:color="000000"/>
            </w:tcBorders>
            <w:tcMar>
              <w:top w:w="0" w:type="dxa"/>
              <w:left w:w="100" w:type="dxa"/>
              <w:bottom w:w="0" w:type="dxa"/>
              <w:right w:w="100" w:type="dxa"/>
            </w:tcMar>
          </w:tcPr>
          <w:p w14:paraId="0000012E" w14:textId="77777777" w:rsidR="003F1A6D" w:rsidRDefault="00DB5D40">
            <w:pPr>
              <w:pStyle w:val="P68B1DB1-Normln2"/>
              <w:keepNext/>
              <w:keepLines/>
              <w:spacing w:after="0" w:line="240" w:lineRule="auto"/>
              <w:ind w:left="100"/>
              <w:rPr>
                <w:bCs/>
              </w:rPr>
            </w:pPr>
            <w:r>
              <w:t>NBD</w:t>
            </w:r>
          </w:p>
        </w:tc>
        <w:tc>
          <w:tcPr>
            <w:tcW w:w="1380" w:type="dxa"/>
            <w:tcBorders>
              <w:top w:val="nil"/>
              <w:left w:val="nil"/>
              <w:bottom w:val="single" w:sz="5" w:space="0" w:color="000000"/>
              <w:right w:val="single" w:sz="5" w:space="0" w:color="000000"/>
            </w:tcBorders>
            <w:tcMar>
              <w:top w:w="0" w:type="dxa"/>
              <w:left w:w="100" w:type="dxa"/>
              <w:bottom w:w="0" w:type="dxa"/>
              <w:right w:w="100" w:type="dxa"/>
            </w:tcMar>
          </w:tcPr>
          <w:p w14:paraId="0000012F" w14:textId="77777777" w:rsidR="003F1A6D" w:rsidRDefault="00DB5D40">
            <w:pPr>
              <w:pStyle w:val="P68B1DB1-Normln2"/>
              <w:keepNext/>
              <w:keepLines/>
              <w:spacing w:after="0" w:line="240" w:lineRule="auto"/>
              <w:ind w:left="100"/>
              <w:rPr>
                <w:bCs/>
              </w:rPr>
            </w:pPr>
            <w:r>
              <w:t>30 working days</w:t>
            </w:r>
          </w:p>
        </w:tc>
      </w:tr>
    </w:tbl>
    <w:p w14:paraId="00000130" w14:textId="77777777" w:rsidR="003F1A6D" w:rsidRDefault="00DB5D40">
      <w:pPr>
        <w:pStyle w:val="P68B1DB1-Normln2"/>
        <w:spacing w:before="240" w:after="0" w:line="240" w:lineRule="auto"/>
        <w:rPr>
          <w:bCs/>
        </w:rPr>
      </w:pPr>
      <w:r>
        <w:t xml:space="preserve">Service level required </w:t>
      </w:r>
    </w:p>
    <w:tbl>
      <w:tblPr>
        <w:tblStyle w:val="af7"/>
        <w:tblW w:w="857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98"/>
        <w:gridCol w:w="2876"/>
      </w:tblGrid>
      <w:tr w:rsidR="003F1A6D" w14:paraId="7496F275" w14:textId="77777777">
        <w:trPr>
          <w:cantSplit/>
          <w:trHeight w:val="386"/>
          <w:tblHeader/>
        </w:trPr>
        <w:tc>
          <w:tcPr>
            <w:tcW w:w="5698" w:type="dxa"/>
            <w:shd w:val="clear" w:color="auto" w:fill="3366FF"/>
          </w:tcPr>
          <w:p w14:paraId="00000131" w14:textId="77777777" w:rsidR="003F1A6D" w:rsidRDefault="00DB5D40">
            <w:pPr>
              <w:pStyle w:val="P68B1DB1-Normln2"/>
              <w:spacing w:after="0" w:line="240" w:lineRule="auto"/>
              <w:rPr>
                <w:bCs/>
              </w:rPr>
            </w:pPr>
            <w:r>
              <w:t>Description of IS or parts of IS</w:t>
            </w:r>
          </w:p>
        </w:tc>
        <w:tc>
          <w:tcPr>
            <w:tcW w:w="2876" w:type="dxa"/>
            <w:shd w:val="clear" w:color="auto" w:fill="3366FF"/>
          </w:tcPr>
          <w:p w14:paraId="00000132" w14:textId="77777777" w:rsidR="003F1A6D" w:rsidRDefault="00DB5D40">
            <w:pPr>
              <w:pStyle w:val="P68B1DB1-Normln2"/>
              <w:spacing w:after="0" w:line="240" w:lineRule="auto"/>
              <w:rPr>
                <w:bCs/>
              </w:rPr>
            </w:pPr>
            <w:r>
              <w:t>Service level</w:t>
            </w:r>
          </w:p>
        </w:tc>
      </w:tr>
      <w:tr w:rsidR="003F1A6D" w14:paraId="5DE066B7" w14:textId="77777777">
        <w:trPr>
          <w:cantSplit/>
        </w:trPr>
        <w:tc>
          <w:tcPr>
            <w:tcW w:w="5698" w:type="dxa"/>
          </w:tcPr>
          <w:p w14:paraId="00000133" w14:textId="77777777" w:rsidR="003F1A6D" w:rsidRDefault="00DB5D40">
            <w:pPr>
              <w:pStyle w:val="P68B1DB1-Normln2"/>
              <w:spacing w:after="0" w:line="240" w:lineRule="auto"/>
              <w:rPr>
                <w:bCs/>
                <w:color w:val="000000"/>
              </w:rPr>
            </w:pPr>
            <w:r>
              <w:t>Transmission part of the network</w:t>
            </w:r>
          </w:p>
        </w:tc>
        <w:tc>
          <w:tcPr>
            <w:tcW w:w="2876" w:type="dxa"/>
          </w:tcPr>
          <w:p w14:paraId="00000134" w14:textId="77777777" w:rsidR="003F1A6D" w:rsidRDefault="00DB5D40">
            <w:pPr>
              <w:pStyle w:val="P68B1DB1-Normln3"/>
              <w:keepNext/>
              <w:spacing w:after="0" w:line="240" w:lineRule="auto"/>
              <w:rPr>
                <w:color w:val="000000"/>
              </w:rPr>
            </w:pPr>
            <w:r>
              <w:t>1</w:t>
            </w:r>
          </w:p>
        </w:tc>
      </w:tr>
      <w:tr w:rsidR="003F1A6D" w14:paraId="04D17032" w14:textId="77777777">
        <w:trPr>
          <w:cantSplit/>
        </w:trPr>
        <w:tc>
          <w:tcPr>
            <w:tcW w:w="5698" w:type="dxa"/>
          </w:tcPr>
          <w:p w14:paraId="00000135" w14:textId="77777777" w:rsidR="003F1A6D" w:rsidRDefault="00DB5D40">
            <w:pPr>
              <w:pStyle w:val="P68B1DB1-Normln2"/>
              <w:spacing w:after="0" w:line="240" w:lineRule="auto"/>
              <w:rPr>
                <w:bCs/>
              </w:rPr>
            </w:pPr>
            <w:r>
              <w:t>Administrative part of the network</w:t>
            </w:r>
          </w:p>
        </w:tc>
        <w:tc>
          <w:tcPr>
            <w:tcW w:w="2876" w:type="dxa"/>
          </w:tcPr>
          <w:p w14:paraId="00000136" w14:textId="77777777" w:rsidR="003F1A6D" w:rsidRDefault="00DB5D40">
            <w:pPr>
              <w:pStyle w:val="P68B1DB1-Normln3"/>
              <w:keepNext/>
              <w:spacing w:after="0" w:line="240" w:lineRule="auto"/>
              <w:rPr>
                <w:color w:val="000000"/>
              </w:rPr>
            </w:pPr>
            <w:r>
              <w:t>2</w:t>
            </w:r>
          </w:p>
        </w:tc>
      </w:tr>
      <w:tr w:rsidR="003F1A6D" w14:paraId="71C9EF59" w14:textId="77777777">
        <w:trPr>
          <w:cantSplit/>
        </w:trPr>
        <w:tc>
          <w:tcPr>
            <w:tcW w:w="5698" w:type="dxa"/>
          </w:tcPr>
          <w:p w14:paraId="00000137" w14:textId="77777777" w:rsidR="003F1A6D" w:rsidRDefault="00DB5D40">
            <w:pPr>
              <w:pStyle w:val="P68B1DB1-Normln2"/>
              <w:spacing w:after="0" w:line="240" w:lineRule="auto"/>
              <w:rPr>
                <w:bCs/>
              </w:rPr>
            </w:pPr>
            <w:r>
              <w:t>Reporting</w:t>
            </w:r>
          </w:p>
        </w:tc>
        <w:tc>
          <w:tcPr>
            <w:tcW w:w="2876" w:type="dxa"/>
          </w:tcPr>
          <w:p w14:paraId="00000138" w14:textId="77777777" w:rsidR="003F1A6D" w:rsidRDefault="00DB5D40">
            <w:pPr>
              <w:pStyle w:val="P68B1DB1-Normln3"/>
              <w:keepNext/>
              <w:spacing w:after="0" w:line="240" w:lineRule="auto"/>
              <w:rPr>
                <w:color w:val="000000"/>
              </w:rPr>
            </w:pPr>
            <w:r>
              <w:t>3</w:t>
            </w:r>
          </w:p>
        </w:tc>
      </w:tr>
    </w:tbl>
    <w:p w14:paraId="00000139" w14:textId="77777777" w:rsidR="003F1A6D" w:rsidRDefault="003F1A6D">
      <w:pPr>
        <w:spacing w:after="0" w:line="240" w:lineRule="auto"/>
        <w:rPr>
          <w:rFonts w:ascii="Arial" w:eastAsia="Arial" w:hAnsi="Arial" w:cs="Arial"/>
        </w:rPr>
      </w:pPr>
    </w:p>
    <w:p w14:paraId="0000013A" w14:textId="77777777" w:rsidR="003F1A6D" w:rsidRDefault="00DB5D40">
      <w:pPr>
        <w:pStyle w:val="P68B1DB1-Normln8"/>
        <w:keepNext/>
        <w:keepLines/>
        <w:shd w:val="clear" w:color="auto" w:fill="333399"/>
        <w:spacing w:after="0" w:line="240" w:lineRule="auto"/>
        <w:rPr>
          <w:bCs/>
        </w:rPr>
      </w:pPr>
      <w:bookmarkStart w:id="6" w:name="_heading=h.tyjcwt" w:colFirst="0" w:colLast="0"/>
      <w:bookmarkEnd w:id="6"/>
      <w:r>
        <w:t>Methodology for calculating IS availability</w:t>
      </w:r>
    </w:p>
    <w:p w14:paraId="0000013B" w14:textId="77777777" w:rsidR="003F1A6D" w:rsidRDefault="00DB5D40">
      <w:pPr>
        <w:pStyle w:val="P68B1DB1-Normln3"/>
        <w:spacing w:after="0" w:line="240" w:lineRule="auto"/>
      </w:pPr>
      <w:r>
        <w:t>For the purposes of calculating IS availability (required SLA level 99.9%), the monthly amount of IS outages in incident category A will be used based on the Customer's monitoring data.</w:t>
      </w:r>
    </w:p>
    <w:p w14:paraId="0000013C" w14:textId="77777777" w:rsidR="003F1A6D" w:rsidRDefault="00DB5D40">
      <w:pPr>
        <w:pStyle w:val="P68B1DB1-Normln3"/>
        <w:spacing w:after="0" w:line="240" w:lineRule="auto"/>
      </w:pPr>
      <w:r>
        <w:t>The following formula shall then be used to calculate the actual availability of the IS:</w:t>
      </w:r>
    </w:p>
    <w:p w14:paraId="0000013D" w14:textId="77777777" w:rsidR="003F1A6D" w:rsidRDefault="00DB5D40">
      <w:pPr>
        <w:pStyle w:val="P68B1DB1-Normln2"/>
        <w:spacing w:after="0" w:line="240" w:lineRule="auto"/>
        <w:ind w:left="1416" w:firstLine="707"/>
        <w:rPr>
          <w:bCs/>
        </w:rPr>
      </w:pPr>
      <w:r>
        <w:t xml:space="preserve"> (T</w:t>
      </w:r>
      <w:r>
        <w:rPr>
          <w:vertAlign w:val="subscript"/>
        </w:rPr>
        <w:t>S</w:t>
      </w:r>
      <w:r>
        <w:t xml:space="preserve"> — T</w:t>
      </w:r>
      <w:r>
        <w:rPr>
          <w:vertAlign w:val="subscript"/>
        </w:rPr>
        <w:t>N</w:t>
      </w:r>
      <w:r>
        <w:t>)</w:t>
      </w:r>
    </w:p>
    <w:p w14:paraId="0000013E" w14:textId="77777777" w:rsidR="003F1A6D" w:rsidRDefault="00DB5D40">
      <w:pPr>
        <w:pStyle w:val="P68B1DB1-Normln2"/>
        <w:spacing w:after="0" w:line="240" w:lineRule="auto"/>
        <w:rPr>
          <w:bCs/>
        </w:rPr>
      </w:pPr>
      <w:r>
        <w:t>IS availability = —————— x 100 %</w:t>
      </w:r>
    </w:p>
    <w:p w14:paraId="0000013F" w14:textId="77777777" w:rsidR="003F1A6D" w:rsidRDefault="00DB5D40">
      <w:pPr>
        <w:pStyle w:val="P68B1DB1-Normln2"/>
        <w:spacing w:after="0" w:line="240" w:lineRule="auto"/>
        <w:ind w:left="2124" w:firstLine="707"/>
        <w:rPr>
          <w:bCs/>
          <w:vertAlign w:val="subscript"/>
        </w:rPr>
      </w:pPr>
      <w:r>
        <w:t>T</w:t>
      </w:r>
      <w:r>
        <w:rPr>
          <w:vertAlign w:val="subscript"/>
        </w:rPr>
        <w:t>S</w:t>
      </w:r>
    </w:p>
    <w:p w14:paraId="00000140" w14:textId="77777777" w:rsidR="003F1A6D" w:rsidRDefault="00DB5D40">
      <w:pPr>
        <w:pStyle w:val="P68B1DB1-Normln3"/>
        <w:spacing w:after="0" w:line="240" w:lineRule="auto"/>
      </w:pPr>
      <w:r>
        <w:rPr>
          <w:b/>
        </w:rPr>
        <w:lastRenderedPageBreak/>
        <w:t>T</w:t>
      </w:r>
      <w:r>
        <w:rPr>
          <w:b/>
          <w:vertAlign w:val="subscript"/>
        </w:rPr>
        <w:t>S</w:t>
      </w:r>
      <w:r>
        <w:t xml:space="preserve"> denotes the total number of hours for which the IS </w:t>
      </w:r>
      <w:proofErr w:type="spellStart"/>
      <w:r>
        <w:t>is</w:t>
      </w:r>
      <w:proofErr w:type="spellEnd"/>
      <w:r>
        <w:t xml:space="preserve"> to be operated in a given calendar month, excluding the period of justified limitation of the operation of the IS.</w:t>
      </w:r>
    </w:p>
    <w:p w14:paraId="00000141" w14:textId="77777777" w:rsidR="003F1A6D" w:rsidRDefault="003F1A6D">
      <w:pPr>
        <w:spacing w:after="0" w:line="240" w:lineRule="auto"/>
        <w:rPr>
          <w:rFonts w:ascii="Arial" w:eastAsia="Arial" w:hAnsi="Arial" w:cs="Arial"/>
        </w:rPr>
      </w:pPr>
    </w:p>
    <w:p w14:paraId="00000142" w14:textId="77777777" w:rsidR="003F1A6D" w:rsidRDefault="00DB5D40">
      <w:pPr>
        <w:pStyle w:val="P68B1DB1-Normln3"/>
        <w:spacing w:after="0" w:line="240" w:lineRule="auto"/>
      </w:pPr>
      <w:r>
        <w:rPr>
          <w:b/>
        </w:rPr>
        <w:t>T</w:t>
      </w:r>
      <w:r>
        <w:rPr>
          <w:b/>
          <w:vertAlign w:val="subscript"/>
        </w:rPr>
        <w:t>N</w:t>
      </w:r>
      <w:r>
        <w:t xml:space="preserve"> denotes the total number of hours during which the IS has been unavailable or has not performed its function (see category A of the incident</w:t>
      </w:r>
      <w:proofErr w:type="gramStart"/>
      <w:r>
        <w:t>) ,</w:t>
      </w:r>
      <w:proofErr w:type="gramEnd"/>
      <w:r>
        <w:t xml:space="preserve"> excluding the period of </w:t>
      </w:r>
      <w:proofErr w:type="spellStart"/>
      <w:r>
        <w:t>authorised</w:t>
      </w:r>
      <w:proofErr w:type="spellEnd"/>
      <w:r>
        <w:t xml:space="preserve"> limitation of the operation of the IS.</w:t>
      </w:r>
    </w:p>
    <w:p w14:paraId="00000143" w14:textId="77777777" w:rsidR="003F1A6D" w:rsidRDefault="003F1A6D">
      <w:pPr>
        <w:spacing w:after="0" w:line="240" w:lineRule="auto"/>
        <w:rPr>
          <w:rFonts w:ascii="Arial" w:eastAsia="Arial" w:hAnsi="Arial" w:cs="Arial"/>
        </w:rPr>
      </w:pPr>
    </w:p>
    <w:p w14:paraId="00000144" w14:textId="77777777" w:rsidR="003F1A6D" w:rsidRDefault="00DB5D40">
      <w:pPr>
        <w:pStyle w:val="P68B1DB1-Normln3"/>
        <w:spacing w:after="0" w:line="240" w:lineRule="auto"/>
      </w:pPr>
      <w:r>
        <w:t>The monthly unavailability of the IS will not include outages or interruptions or defects of the IS resulting in particular from the following causes:</w:t>
      </w:r>
    </w:p>
    <w:p w14:paraId="00000145" w14:textId="06DBE087" w:rsidR="003F1A6D" w:rsidRDefault="00DB5D40">
      <w:pPr>
        <w:pStyle w:val="P68B1DB1-Normln3"/>
        <w:numPr>
          <w:ilvl w:val="0"/>
          <w:numId w:val="2"/>
        </w:numPr>
        <w:spacing w:after="0" w:line="240" w:lineRule="auto"/>
        <w:jc w:val="both"/>
      </w:pPr>
      <w:r>
        <w:t xml:space="preserve">The </w:t>
      </w:r>
      <w:r w:rsidR="00C62551">
        <w:t>Costumer</w:t>
      </w:r>
      <w:r>
        <w:t xml:space="preserve"> requires the Provider to test the functions of the IS, although no failure has been reported or detected.</w:t>
      </w:r>
    </w:p>
    <w:p w14:paraId="00000146" w14:textId="598EE272" w:rsidR="003F1A6D" w:rsidRDefault="00DB5D40">
      <w:pPr>
        <w:pStyle w:val="P68B1DB1-Normln3"/>
        <w:numPr>
          <w:ilvl w:val="0"/>
          <w:numId w:val="2"/>
        </w:numPr>
        <w:spacing w:after="0" w:line="240" w:lineRule="auto"/>
        <w:jc w:val="both"/>
      </w:pPr>
      <w:r>
        <w:t xml:space="preserve">IS </w:t>
      </w:r>
      <w:proofErr w:type="spellStart"/>
      <w:r>
        <w:t>is</w:t>
      </w:r>
      <w:proofErr w:type="spellEnd"/>
      <w:r>
        <w:t xml:space="preserve"> changed or modified at the </w:t>
      </w:r>
      <w:r w:rsidR="00C62551">
        <w:t>Costumer</w:t>
      </w:r>
      <w:r>
        <w:t xml:space="preserve">'s instruction and with the </w:t>
      </w:r>
      <w:r w:rsidR="00C62551">
        <w:t>Costumer</w:t>
      </w:r>
      <w:r>
        <w:t>'s knowledge in such a way that the parameters of defined availability cannot be met.</w:t>
      </w:r>
    </w:p>
    <w:p w14:paraId="00000147" w14:textId="77777777" w:rsidR="003F1A6D" w:rsidRDefault="00DB5D40">
      <w:pPr>
        <w:pStyle w:val="P68B1DB1-Normln3"/>
        <w:numPr>
          <w:ilvl w:val="0"/>
          <w:numId w:val="2"/>
        </w:numPr>
        <w:spacing w:after="0" w:line="240" w:lineRule="auto"/>
        <w:jc w:val="both"/>
      </w:pPr>
      <w:r>
        <w:t>In case of force majeure.</w:t>
      </w:r>
    </w:p>
    <w:p w14:paraId="00000148" w14:textId="77777777" w:rsidR="003F1A6D" w:rsidRDefault="00DB5D40">
      <w:pPr>
        <w:pStyle w:val="P68B1DB1-Normln3"/>
        <w:numPr>
          <w:ilvl w:val="0"/>
          <w:numId w:val="2"/>
        </w:numPr>
        <w:spacing w:after="0" w:line="240" w:lineRule="auto"/>
        <w:jc w:val="both"/>
      </w:pPr>
      <w:r>
        <w:t>Any interruption directly resulting from failures or deficiencies of the IS or equipment caused by the Customer, e.g. power failure.</w:t>
      </w:r>
    </w:p>
    <w:p w14:paraId="00000149" w14:textId="54262104" w:rsidR="003F1A6D" w:rsidRDefault="00DB5D40">
      <w:pPr>
        <w:pStyle w:val="P68B1DB1-Normln3"/>
        <w:numPr>
          <w:ilvl w:val="0"/>
          <w:numId w:val="2"/>
        </w:numPr>
        <w:spacing w:after="0" w:line="240" w:lineRule="auto"/>
        <w:jc w:val="both"/>
      </w:pPr>
      <w:r>
        <w:t xml:space="preserve">Failures caused by failures of equipment or systems provided by the </w:t>
      </w:r>
      <w:r w:rsidR="00C62551">
        <w:t>Costumer</w:t>
      </w:r>
      <w:r>
        <w:t xml:space="preserve"> or any third party not controlled or controlled by the Provider.</w:t>
      </w:r>
    </w:p>
    <w:p w14:paraId="0000014A" w14:textId="77777777" w:rsidR="003F1A6D" w:rsidRDefault="00DB5D40">
      <w:pPr>
        <w:pStyle w:val="P68B1DB1-Normln9"/>
        <w:numPr>
          <w:ilvl w:val="0"/>
          <w:numId w:val="2"/>
        </w:numPr>
        <w:spacing w:after="0" w:line="240" w:lineRule="auto"/>
        <w:jc w:val="both"/>
        <w:rPr>
          <w:rFonts w:eastAsia="Arial" w:cs="Arial"/>
        </w:rPr>
      </w:pPr>
      <w:r>
        <w:t>Time created by waiting for the Customer to verify the functionality of the IS for more than 30 minutes.</w:t>
      </w:r>
      <w:r>
        <w:br w:type="page"/>
      </w:r>
    </w:p>
    <w:p w14:paraId="0000014B" w14:textId="453FE015" w:rsidR="003F1A6D" w:rsidRDefault="00DB5D40">
      <w:pPr>
        <w:pageBreakBefore/>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color w:val="000000"/>
        </w:rPr>
        <w:lastRenderedPageBreak/>
        <w:t xml:space="preserve">Annex 2 Requirements </w:t>
      </w:r>
      <w:r>
        <w:rPr>
          <w:rFonts w:ascii="Arial" w:eastAsia="Arial" w:hAnsi="Arial" w:cs="Arial"/>
          <w:color w:val="000000"/>
        </w:rPr>
        <w:t xml:space="preserve">and measures to ensure the </w:t>
      </w:r>
      <w:sdt>
        <w:sdtPr>
          <w:tag w:val="goog_rdk_0"/>
          <w:id w:val="-1332631287"/>
        </w:sdtPr>
        <w:sdtEndPr/>
        <w:sdtContent/>
      </w:sdt>
      <w:r>
        <w:rPr>
          <w:rFonts w:ascii="Arial" w:eastAsia="Arial" w:hAnsi="Arial" w:cs="Arial"/>
          <w:color w:val="000000"/>
        </w:rPr>
        <w:t xml:space="preserve">security of the </w:t>
      </w:r>
      <w:r w:rsidR="00C62551">
        <w:rPr>
          <w:rFonts w:ascii="Arial" w:eastAsia="Arial" w:hAnsi="Arial" w:cs="Arial"/>
          <w:color w:val="000000"/>
        </w:rPr>
        <w:t>Costumer</w:t>
      </w:r>
      <w:r>
        <w:rPr>
          <w:rFonts w:ascii="Arial" w:eastAsia="Arial" w:hAnsi="Arial" w:cs="Arial"/>
          <w:color w:val="000000"/>
        </w:rPr>
        <w:t>'s information and information assets</w:t>
      </w:r>
    </w:p>
    <w:p w14:paraId="0000014C" w14:textId="77777777" w:rsidR="003F1A6D" w:rsidRDefault="003F1A6D">
      <w:pPr>
        <w:pBdr>
          <w:top w:val="nil"/>
          <w:left w:val="nil"/>
          <w:bottom w:val="nil"/>
          <w:right w:val="nil"/>
          <w:between w:val="nil"/>
        </w:pBdr>
        <w:spacing w:after="0" w:line="240" w:lineRule="auto"/>
        <w:jc w:val="both"/>
        <w:rPr>
          <w:rFonts w:ascii="Arial" w:eastAsia="Arial" w:hAnsi="Arial" w:cs="Arial"/>
          <w:color w:val="000000"/>
        </w:rPr>
      </w:pPr>
    </w:p>
    <w:p w14:paraId="0000014D" w14:textId="770D333D" w:rsidR="003F1A6D" w:rsidRDefault="00DB5D40">
      <w:pPr>
        <w:pStyle w:val="P68B1DB1-Normln4"/>
        <w:pBdr>
          <w:top w:val="nil"/>
          <w:left w:val="nil"/>
          <w:bottom w:val="nil"/>
          <w:right w:val="nil"/>
          <w:between w:val="nil"/>
        </w:pBdr>
        <w:spacing w:after="0" w:line="240" w:lineRule="auto"/>
        <w:jc w:val="both"/>
      </w:pPr>
      <w:r>
        <w:t xml:space="preserve">In the event that the </w:t>
      </w:r>
      <w:r w:rsidR="00C62551">
        <w:t>Costumer</w:t>
      </w:r>
      <w:r>
        <w:t xml:space="preserve"> has its own external security policy, the Provider is obliged to follow this policy. Otherwise, the following rules apply. In the event that the external security policy does not regulate specific measures listed herein, or this policy has defined measures less strictly than stated herein, the Provider is also obliged to abide by the following rules listed below or apply their stricter variant. </w:t>
      </w:r>
    </w:p>
    <w:p w14:paraId="0000014E" w14:textId="77777777" w:rsidR="003F1A6D" w:rsidRDefault="003F1A6D">
      <w:pPr>
        <w:pBdr>
          <w:top w:val="nil"/>
          <w:left w:val="nil"/>
          <w:bottom w:val="nil"/>
          <w:right w:val="nil"/>
          <w:between w:val="nil"/>
        </w:pBdr>
        <w:spacing w:after="0" w:line="240" w:lineRule="auto"/>
        <w:jc w:val="both"/>
        <w:rPr>
          <w:rFonts w:ascii="Arial" w:eastAsia="Arial" w:hAnsi="Arial" w:cs="Arial"/>
          <w:color w:val="000000"/>
        </w:rPr>
      </w:pPr>
    </w:p>
    <w:p w14:paraId="0000014F" w14:textId="77777777" w:rsidR="003F1A6D" w:rsidRDefault="00DB5D40">
      <w:pPr>
        <w:pStyle w:val="P68B1DB1-Normln4"/>
        <w:numPr>
          <w:ilvl w:val="0"/>
          <w:numId w:val="17"/>
        </w:numPr>
        <w:pBdr>
          <w:top w:val="nil"/>
          <w:left w:val="nil"/>
          <w:bottom w:val="nil"/>
          <w:right w:val="nil"/>
          <w:between w:val="nil"/>
        </w:pBdr>
        <w:spacing w:before="60" w:after="0" w:line="240" w:lineRule="auto"/>
        <w:ind w:left="426" w:hanging="426"/>
        <w:jc w:val="both"/>
      </w:pPr>
      <w:r>
        <w:t xml:space="preserve">Security of access </w:t>
      </w:r>
      <w:proofErr w:type="spellStart"/>
      <w:r>
        <w:t>authorisations</w:t>
      </w:r>
      <w:proofErr w:type="spellEnd"/>
      <w:r>
        <w:t xml:space="preserve"> </w:t>
      </w:r>
    </w:p>
    <w:p w14:paraId="00000150" w14:textId="2AF1482F" w:rsidR="003F1A6D" w:rsidRDefault="00DB5D40">
      <w:pPr>
        <w:pStyle w:val="P68B1DB1-Normln10"/>
        <w:numPr>
          <w:ilvl w:val="1"/>
          <w:numId w:val="16"/>
        </w:numPr>
        <w:spacing w:before="60" w:after="0" w:line="240" w:lineRule="auto"/>
        <w:ind w:left="851"/>
        <w:jc w:val="both"/>
      </w:pPr>
      <w:r>
        <w:t xml:space="preserve">The Provider is obliged to protect all access data to the </w:t>
      </w:r>
      <w:r w:rsidR="00C62551">
        <w:t>Costumer</w:t>
      </w:r>
      <w:r>
        <w:t xml:space="preserve">'s information assets, including accesses to the Provider's information assets, which allow access to the </w:t>
      </w:r>
      <w:r w:rsidR="00C62551">
        <w:t>Costumer</w:t>
      </w:r>
      <w:r>
        <w:t xml:space="preserve">'s information assets or enable their management. </w:t>
      </w:r>
    </w:p>
    <w:p w14:paraId="00000151" w14:textId="77777777" w:rsidR="003F1A6D" w:rsidRDefault="00DB5D40">
      <w:pPr>
        <w:pStyle w:val="P68B1DB1-Normln10"/>
        <w:numPr>
          <w:ilvl w:val="1"/>
          <w:numId w:val="16"/>
        </w:numPr>
        <w:spacing w:before="60" w:after="0" w:line="240" w:lineRule="auto"/>
        <w:ind w:left="851"/>
        <w:jc w:val="both"/>
      </w:pPr>
      <w:r>
        <w:t xml:space="preserve">The Provider is obliged to comply with the following password security policy for the above-mentioned access data: </w:t>
      </w:r>
    </w:p>
    <w:p w14:paraId="00000152" w14:textId="77777777" w:rsidR="003F1A6D" w:rsidRDefault="00DB5D40">
      <w:pPr>
        <w:pStyle w:val="P68B1DB1-Normln10"/>
        <w:numPr>
          <w:ilvl w:val="2"/>
          <w:numId w:val="16"/>
        </w:numPr>
        <w:spacing w:before="60" w:after="0" w:line="240" w:lineRule="auto"/>
        <w:ind w:left="1276"/>
        <w:jc w:val="both"/>
      </w:pPr>
      <w:r>
        <w:t>min. password length 17 characters</w:t>
      </w:r>
    </w:p>
    <w:p w14:paraId="00000153" w14:textId="77777777" w:rsidR="003F1A6D" w:rsidRDefault="00DB5D40">
      <w:pPr>
        <w:pStyle w:val="P68B1DB1-Normln10"/>
        <w:numPr>
          <w:ilvl w:val="2"/>
          <w:numId w:val="16"/>
        </w:numPr>
        <w:spacing w:before="60" w:after="0" w:line="240" w:lineRule="auto"/>
        <w:ind w:left="1276"/>
        <w:jc w:val="both"/>
      </w:pPr>
      <w:r>
        <w:t xml:space="preserve">Password complexity must meet at least 3 out of 4 categories </w:t>
      </w:r>
    </w:p>
    <w:p w14:paraId="00000154" w14:textId="77777777" w:rsidR="003F1A6D" w:rsidRDefault="00DB5D40">
      <w:pPr>
        <w:pStyle w:val="P68B1DB1-Normln10"/>
        <w:numPr>
          <w:ilvl w:val="3"/>
          <w:numId w:val="12"/>
        </w:numPr>
        <w:spacing w:before="60" w:after="0" w:line="240" w:lineRule="auto"/>
        <w:ind w:left="1701"/>
        <w:jc w:val="both"/>
      </w:pPr>
      <w:r>
        <w:t xml:space="preserve">lower case </w:t>
      </w:r>
    </w:p>
    <w:p w14:paraId="00000155" w14:textId="77777777" w:rsidR="003F1A6D" w:rsidRDefault="00DB5D40">
      <w:pPr>
        <w:pStyle w:val="P68B1DB1-Normln10"/>
        <w:numPr>
          <w:ilvl w:val="3"/>
          <w:numId w:val="12"/>
        </w:numPr>
        <w:spacing w:before="60" w:after="0" w:line="240" w:lineRule="auto"/>
        <w:ind w:left="1701"/>
        <w:jc w:val="both"/>
      </w:pPr>
      <w:r>
        <w:t xml:space="preserve">upper case </w:t>
      </w:r>
    </w:p>
    <w:p w14:paraId="00000156" w14:textId="77777777" w:rsidR="003F1A6D" w:rsidRDefault="00DB5D40">
      <w:pPr>
        <w:pStyle w:val="P68B1DB1-Normln10"/>
        <w:numPr>
          <w:ilvl w:val="3"/>
          <w:numId w:val="12"/>
        </w:numPr>
        <w:spacing w:before="60" w:after="0" w:line="240" w:lineRule="auto"/>
        <w:ind w:left="1701"/>
        <w:jc w:val="both"/>
      </w:pPr>
      <w:r>
        <w:t xml:space="preserve">numerals </w:t>
      </w:r>
    </w:p>
    <w:p w14:paraId="00000157" w14:textId="77777777" w:rsidR="003F1A6D" w:rsidRDefault="00DB5D40">
      <w:pPr>
        <w:pStyle w:val="P68B1DB1-Normln10"/>
        <w:numPr>
          <w:ilvl w:val="3"/>
          <w:numId w:val="12"/>
        </w:numPr>
        <w:spacing w:before="60" w:after="0" w:line="240" w:lineRule="auto"/>
        <w:ind w:left="1701"/>
        <w:jc w:val="both"/>
      </w:pPr>
      <w:r>
        <w:t xml:space="preserve">special characters </w:t>
      </w:r>
    </w:p>
    <w:p w14:paraId="00000158" w14:textId="77777777" w:rsidR="003F1A6D" w:rsidRDefault="00DB5D40">
      <w:pPr>
        <w:pStyle w:val="P68B1DB1-Normln10"/>
        <w:numPr>
          <w:ilvl w:val="2"/>
          <w:numId w:val="16"/>
        </w:numPr>
        <w:spacing w:before="60" w:after="0" w:line="240" w:lineRule="auto"/>
        <w:ind w:left="1276"/>
        <w:jc w:val="both"/>
      </w:pPr>
      <w:r>
        <w:t xml:space="preserve">passwords must be kept secret, must not be stored in unencrypted form (according to the point of cryptography) </w:t>
      </w:r>
    </w:p>
    <w:p w14:paraId="00000159" w14:textId="77777777" w:rsidR="003F1A6D" w:rsidRDefault="00DB5D40">
      <w:pPr>
        <w:pStyle w:val="P68B1DB1-Normln10"/>
        <w:numPr>
          <w:ilvl w:val="2"/>
          <w:numId w:val="16"/>
        </w:numPr>
        <w:spacing w:before="60" w:after="0" w:line="240" w:lineRule="auto"/>
        <w:ind w:left="1276"/>
        <w:jc w:val="both"/>
      </w:pPr>
      <w:r>
        <w:t>passwords must not contain any login information</w:t>
      </w:r>
    </w:p>
    <w:p w14:paraId="0000015A" w14:textId="77777777" w:rsidR="003F1A6D" w:rsidRDefault="00DB5D40">
      <w:pPr>
        <w:pStyle w:val="P68B1DB1-Normln10"/>
        <w:numPr>
          <w:ilvl w:val="2"/>
          <w:numId w:val="16"/>
        </w:numPr>
        <w:spacing w:before="60" w:after="0" w:line="240" w:lineRule="auto"/>
        <w:ind w:left="1276"/>
        <w:jc w:val="both"/>
      </w:pPr>
      <w:r>
        <w:t>Passwords must be valid for a maximum of 1.5 years.</w:t>
      </w:r>
    </w:p>
    <w:p w14:paraId="0000015B" w14:textId="77777777" w:rsidR="003F1A6D" w:rsidRDefault="00DB5D40">
      <w:pPr>
        <w:pStyle w:val="P68B1DB1-Normln10"/>
        <w:numPr>
          <w:ilvl w:val="1"/>
          <w:numId w:val="16"/>
        </w:numPr>
        <w:spacing w:before="60" w:after="0" w:line="240" w:lineRule="auto"/>
        <w:ind w:left="851"/>
        <w:jc w:val="both"/>
      </w:pPr>
      <w:r>
        <w:t xml:space="preserve">The Provider is obliged to use personalized accounts (excluding system service accounts used for the operational purposes of the Work) that are non-transferable to persons other than those to whom the data have been assigned. </w:t>
      </w:r>
    </w:p>
    <w:p w14:paraId="0000015C" w14:textId="77777777" w:rsidR="003F1A6D" w:rsidRDefault="00DB5D40">
      <w:pPr>
        <w:pStyle w:val="P68B1DB1-Normln10"/>
        <w:numPr>
          <w:ilvl w:val="1"/>
          <w:numId w:val="16"/>
        </w:numPr>
        <w:spacing w:before="60" w:after="0" w:line="240" w:lineRule="auto"/>
        <w:ind w:left="851"/>
        <w:jc w:val="both"/>
      </w:pPr>
      <w:r>
        <w:t xml:space="preserve">Access permissions may only be used for the purpose for which they were established. </w:t>
      </w:r>
    </w:p>
    <w:p w14:paraId="0000015D" w14:textId="73A80389" w:rsidR="003F1A6D" w:rsidRDefault="00DB5D40">
      <w:pPr>
        <w:pStyle w:val="P68B1DB1-Normln10"/>
        <w:numPr>
          <w:ilvl w:val="1"/>
          <w:numId w:val="16"/>
        </w:numPr>
        <w:spacing w:before="60" w:after="0" w:line="240" w:lineRule="auto"/>
        <w:ind w:left="851"/>
        <w:jc w:val="both"/>
      </w:pPr>
      <w:r>
        <w:t xml:space="preserve">Should the Provider provide access rights to a third party, the Provider is obliged to inform the </w:t>
      </w:r>
      <w:r w:rsidR="00C62551">
        <w:t>Costumer</w:t>
      </w:r>
      <w:r>
        <w:t xml:space="preserve"> of this fact. In this case, the Customer has the right to refuse access.  </w:t>
      </w:r>
    </w:p>
    <w:p w14:paraId="0000015E" w14:textId="77777777" w:rsidR="003F1A6D" w:rsidRDefault="00DB5D40">
      <w:pPr>
        <w:pStyle w:val="P68B1DB1-Normln11"/>
        <w:numPr>
          <w:ilvl w:val="0"/>
          <w:numId w:val="24"/>
        </w:numPr>
        <w:pBdr>
          <w:top w:val="nil"/>
          <w:left w:val="nil"/>
          <w:bottom w:val="nil"/>
          <w:right w:val="nil"/>
          <w:between w:val="nil"/>
        </w:pBdr>
        <w:spacing w:before="60" w:after="0" w:line="240" w:lineRule="auto"/>
        <w:ind w:left="426" w:hanging="426"/>
        <w:jc w:val="both"/>
      </w:pPr>
      <w:r>
        <w:t xml:space="preserve">Risk management </w:t>
      </w:r>
    </w:p>
    <w:p w14:paraId="0000015F" w14:textId="03B036E5" w:rsidR="003F1A6D" w:rsidRDefault="00DB5D40">
      <w:pPr>
        <w:pStyle w:val="P68B1DB1-Normln10"/>
        <w:numPr>
          <w:ilvl w:val="1"/>
          <w:numId w:val="23"/>
        </w:numPr>
        <w:spacing w:before="60" w:after="0" w:line="240" w:lineRule="auto"/>
        <w:ind w:left="851"/>
        <w:jc w:val="both"/>
      </w:pPr>
      <w:r>
        <w:t xml:space="preserve">The </w:t>
      </w:r>
      <w:r w:rsidR="00C62551">
        <w:t>Costumer</w:t>
      </w:r>
      <w:r>
        <w:t xml:space="preserve"> reserves the right to be informed about how the </w:t>
      </w:r>
      <w:r w:rsidR="00C62551">
        <w:t>Provider</w:t>
      </w:r>
      <w:r>
        <w:t xml:space="preserve"> manages the risks in connection with the performance of this contract, i.e. which risk management methodology it uses, how the risks are assessed and classified, how the risks are treated and who is responsible for the risk management of the </w:t>
      </w:r>
      <w:r w:rsidR="00C62551">
        <w:t>Provider</w:t>
      </w:r>
      <w:r>
        <w:t xml:space="preserve">. </w:t>
      </w:r>
    </w:p>
    <w:p w14:paraId="00000160" w14:textId="3A4DEB59" w:rsidR="003F1A6D" w:rsidRDefault="00DB5D40">
      <w:pPr>
        <w:pStyle w:val="P68B1DB1-Normln10"/>
        <w:numPr>
          <w:ilvl w:val="1"/>
          <w:numId w:val="23"/>
        </w:numPr>
        <w:spacing w:before="60" w:after="0" w:line="240" w:lineRule="auto"/>
        <w:ind w:left="851"/>
        <w:jc w:val="both"/>
      </w:pPr>
      <w:r>
        <w:t xml:space="preserve">The </w:t>
      </w:r>
      <w:r w:rsidR="00C62551">
        <w:t>Provider</w:t>
      </w:r>
      <w:r>
        <w:t xml:space="preserve"> undertakes to manage information security risks at least to the following extent: </w:t>
      </w:r>
    </w:p>
    <w:p w14:paraId="00000161" w14:textId="77777777" w:rsidR="003F1A6D" w:rsidRDefault="00DB5D40">
      <w:pPr>
        <w:pStyle w:val="P68B1DB1-Normln10"/>
        <w:numPr>
          <w:ilvl w:val="2"/>
          <w:numId w:val="23"/>
        </w:numPr>
        <w:spacing w:before="60" w:after="0" w:line="240" w:lineRule="auto"/>
        <w:jc w:val="both"/>
      </w:pPr>
      <w:r>
        <w:t xml:space="preserve">Identification and evaluation of assets related to the performance of this contract, within the scope of evaluation of availability, confidentiality and integrity parameters; </w:t>
      </w:r>
    </w:p>
    <w:p w14:paraId="00000162" w14:textId="77777777" w:rsidR="003F1A6D" w:rsidRDefault="00DB5D40">
      <w:pPr>
        <w:pStyle w:val="P68B1DB1-Normln10"/>
        <w:numPr>
          <w:ilvl w:val="2"/>
          <w:numId w:val="23"/>
        </w:numPr>
        <w:spacing w:before="60" w:after="0" w:line="240" w:lineRule="auto"/>
        <w:jc w:val="both"/>
      </w:pPr>
      <w:r>
        <w:t xml:space="preserve">Identifying, </w:t>
      </w:r>
      <w:proofErr w:type="spellStart"/>
      <w:r>
        <w:t>analysing</w:t>
      </w:r>
      <w:proofErr w:type="spellEnd"/>
      <w:r>
        <w:t xml:space="preserve"> and evaluating the risks associated with the performance of this contract, based on an assessment of the degree of impact, the likelihood of the threat occurring, the likelihood of the vulnerability occurring and the measures in place; </w:t>
      </w:r>
    </w:p>
    <w:p w14:paraId="00000163" w14:textId="77777777" w:rsidR="003F1A6D" w:rsidRDefault="00DB5D40">
      <w:pPr>
        <w:pStyle w:val="P68B1DB1-Normln10"/>
        <w:numPr>
          <w:ilvl w:val="2"/>
          <w:numId w:val="23"/>
        </w:numPr>
        <w:spacing w:before="60" w:after="0" w:line="240" w:lineRule="auto"/>
        <w:jc w:val="both"/>
      </w:pPr>
      <w:r>
        <w:t xml:space="preserve">Management and monitoring of risks related to the performance of this contract, up to the level of defining a risk management plan. </w:t>
      </w:r>
    </w:p>
    <w:p w14:paraId="00000164" w14:textId="77777777" w:rsidR="003F1A6D" w:rsidRDefault="00DB5D40">
      <w:pPr>
        <w:pStyle w:val="P68B1DB1-Normln4"/>
        <w:numPr>
          <w:ilvl w:val="0"/>
          <w:numId w:val="17"/>
        </w:numPr>
        <w:pBdr>
          <w:top w:val="nil"/>
          <w:left w:val="nil"/>
          <w:bottom w:val="nil"/>
          <w:right w:val="nil"/>
          <w:between w:val="nil"/>
        </w:pBdr>
        <w:spacing w:before="60" w:after="0" w:line="240" w:lineRule="auto"/>
        <w:ind w:left="426" w:hanging="426"/>
        <w:jc w:val="both"/>
      </w:pPr>
      <w:r>
        <w:t xml:space="preserve">Safe development </w:t>
      </w:r>
    </w:p>
    <w:p w14:paraId="00000165" w14:textId="77777777" w:rsidR="003F1A6D" w:rsidRDefault="00DB5D40">
      <w:pPr>
        <w:pStyle w:val="P68B1DB1-Normln10"/>
        <w:numPr>
          <w:ilvl w:val="1"/>
          <w:numId w:val="16"/>
        </w:numPr>
        <w:spacing w:before="60" w:after="0" w:line="240" w:lineRule="auto"/>
        <w:ind w:left="851"/>
        <w:jc w:val="both"/>
      </w:pPr>
      <w:r>
        <w:t>Protection against malicious code must be ensured by:</w:t>
      </w:r>
    </w:p>
    <w:p w14:paraId="00000166" w14:textId="77777777" w:rsidR="003F1A6D" w:rsidRDefault="00DB5D40">
      <w:pPr>
        <w:pStyle w:val="P68B1DB1-Normln10"/>
        <w:numPr>
          <w:ilvl w:val="2"/>
          <w:numId w:val="16"/>
        </w:numPr>
        <w:spacing w:before="60" w:after="0" w:line="240" w:lineRule="auto"/>
        <w:jc w:val="both"/>
      </w:pPr>
      <w:r>
        <w:t xml:space="preserve">on the workstations of developers and programmers, </w:t>
      </w:r>
    </w:p>
    <w:p w14:paraId="00000167" w14:textId="77777777" w:rsidR="003F1A6D" w:rsidRDefault="00DB5D40">
      <w:pPr>
        <w:pStyle w:val="P68B1DB1-Normln10"/>
        <w:numPr>
          <w:ilvl w:val="2"/>
          <w:numId w:val="16"/>
        </w:numPr>
        <w:spacing w:before="60" w:after="0" w:line="240" w:lineRule="auto"/>
        <w:jc w:val="both"/>
      </w:pPr>
      <w:r>
        <w:t xml:space="preserve">on servers/devices where the source code of the applications is stored. </w:t>
      </w:r>
    </w:p>
    <w:p w14:paraId="00000168" w14:textId="7A888F76" w:rsidR="003F1A6D" w:rsidRDefault="00DB5D40">
      <w:pPr>
        <w:pStyle w:val="P68B1DB1-Normln10"/>
        <w:numPr>
          <w:ilvl w:val="1"/>
          <w:numId w:val="16"/>
        </w:numPr>
        <w:spacing w:before="60" w:after="0" w:line="240" w:lineRule="auto"/>
        <w:ind w:left="851"/>
        <w:jc w:val="both"/>
      </w:pPr>
      <w:r>
        <w:lastRenderedPageBreak/>
        <w:t xml:space="preserve">Access to the source code shall be managed in such a way that only </w:t>
      </w:r>
      <w:proofErr w:type="spellStart"/>
      <w:r>
        <w:t>authorised</w:t>
      </w:r>
      <w:proofErr w:type="spellEnd"/>
      <w:r>
        <w:t xml:space="preserve"> developers and other </w:t>
      </w:r>
      <w:proofErr w:type="spellStart"/>
      <w:r>
        <w:t>authorised</w:t>
      </w:r>
      <w:proofErr w:type="spellEnd"/>
      <w:r>
        <w:t xml:space="preserve"> persons of the </w:t>
      </w:r>
      <w:r w:rsidR="00C62551">
        <w:t>Provider</w:t>
      </w:r>
      <w:r>
        <w:t xml:space="preserve"> have access to it. </w:t>
      </w:r>
    </w:p>
    <w:p w14:paraId="00000169" w14:textId="77777777" w:rsidR="003F1A6D" w:rsidRDefault="00DB5D40">
      <w:pPr>
        <w:pStyle w:val="P68B1DB1-Normln10"/>
        <w:numPr>
          <w:ilvl w:val="1"/>
          <w:numId w:val="16"/>
        </w:numPr>
        <w:spacing w:before="60" w:after="0" w:line="240" w:lineRule="auto"/>
        <w:ind w:left="851"/>
        <w:jc w:val="both"/>
      </w:pPr>
      <w:r>
        <w:t xml:space="preserve">Accesses to and changes to source codes shall be monitored and logged, and the audit trail of accesses shall be evaluated. </w:t>
      </w:r>
    </w:p>
    <w:p w14:paraId="0000016A" w14:textId="77777777" w:rsidR="003F1A6D" w:rsidRDefault="00DB5D40">
      <w:pPr>
        <w:pStyle w:val="P68B1DB1-Normln10"/>
        <w:numPr>
          <w:ilvl w:val="1"/>
          <w:numId w:val="16"/>
        </w:numPr>
        <w:spacing w:before="60" w:after="0" w:line="240" w:lineRule="auto"/>
        <w:ind w:left="851"/>
        <w:jc w:val="both"/>
      </w:pPr>
      <w:r>
        <w:t xml:space="preserve">A versioning system must be used to manage the source code. </w:t>
      </w:r>
    </w:p>
    <w:p w14:paraId="0000016B" w14:textId="77777777" w:rsidR="003F1A6D" w:rsidRDefault="00DB5D40">
      <w:pPr>
        <w:pStyle w:val="P68B1DB1-Normln10"/>
        <w:numPr>
          <w:ilvl w:val="1"/>
          <w:numId w:val="16"/>
        </w:numPr>
        <w:spacing w:before="60" w:after="0" w:line="240" w:lineRule="auto"/>
        <w:ind w:left="851"/>
        <w:jc w:val="both"/>
      </w:pPr>
      <w:r>
        <w:t xml:space="preserve">The source code of the work must be backed up regularly and the backups tested regularly for their recoverability. </w:t>
      </w:r>
    </w:p>
    <w:p w14:paraId="0000016C" w14:textId="77777777" w:rsidR="003F1A6D" w:rsidRDefault="00DB5D40">
      <w:pPr>
        <w:pStyle w:val="P68B1DB1-Normln10"/>
        <w:numPr>
          <w:ilvl w:val="1"/>
          <w:numId w:val="16"/>
        </w:numPr>
        <w:spacing w:before="60" w:after="0" w:line="240" w:lineRule="auto"/>
        <w:ind w:left="851"/>
        <w:jc w:val="both"/>
      </w:pPr>
      <w:r>
        <w:t xml:space="preserve">The system's binary and executable files must be digitally signed with a certificate issued by a generally trusted certification authority. </w:t>
      </w:r>
    </w:p>
    <w:p w14:paraId="0000016D" w14:textId="77777777" w:rsidR="003F1A6D" w:rsidRDefault="00DB5D40">
      <w:pPr>
        <w:pStyle w:val="P68B1DB1-Normln10"/>
        <w:numPr>
          <w:ilvl w:val="1"/>
          <w:numId w:val="16"/>
        </w:numPr>
        <w:spacing w:before="60" w:after="0" w:line="240" w:lineRule="auto"/>
        <w:ind w:left="851"/>
        <w:jc w:val="both"/>
      </w:pPr>
      <w:r>
        <w:t xml:space="preserve">Secret identifiers such as passwords, access tokens, private keys, etc. shall not be recorded as part of the recording of the system audit trail. </w:t>
      </w:r>
    </w:p>
    <w:p w14:paraId="0000016E" w14:textId="77777777" w:rsidR="003F1A6D" w:rsidRDefault="00DB5D40">
      <w:pPr>
        <w:pStyle w:val="P68B1DB1-Normln10"/>
        <w:numPr>
          <w:ilvl w:val="1"/>
          <w:numId w:val="23"/>
        </w:numPr>
        <w:spacing w:before="60" w:after="0" w:line="240" w:lineRule="auto"/>
        <w:ind w:left="851"/>
        <w:jc w:val="both"/>
      </w:pPr>
      <w:r>
        <w:t xml:space="preserve">The API interface must be documented in a machine-processable format according to one of the open standards (e.g. Swagger OPENAPI). </w:t>
      </w:r>
    </w:p>
    <w:p w14:paraId="0000016F" w14:textId="3B285C38" w:rsidR="003F1A6D" w:rsidRDefault="00C62551">
      <w:pPr>
        <w:pStyle w:val="P68B1DB1-Normln11"/>
        <w:numPr>
          <w:ilvl w:val="0"/>
          <w:numId w:val="24"/>
        </w:numPr>
        <w:pBdr>
          <w:top w:val="nil"/>
          <w:left w:val="nil"/>
          <w:bottom w:val="nil"/>
          <w:right w:val="nil"/>
          <w:between w:val="nil"/>
        </w:pBdr>
        <w:spacing w:before="60" w:after="0" w:line="240" w:lineRule="auto"/>
        <w:ind w:left="426" w:hanging="426"/>
        <w:jc w:val="both"/>
      </w:pPr>
      <w:r>
        <w:t>Provider</w:t>
      </w:r>
      <w:r w:rsidR="00DB5D40">
        <w:t xml:space="preserve">'s inspection and audit </w:t>
      </w:r>
    </w:p>
    <w:p w14:paraId="00000170" w14:textId="1626454E" w:rsidR="003F1A6D" w:rsidRDefault="00DB5D40">
      <w:pPr>
        <w:numPr>
          <w:ilvl w:val="1"/>
          <w:numId w:val="23"/>
        </w:numPr>
        <w:spacing w:before="60" w:after="0" w:line="240" w:lineRule="auto"/>
        <w:ind w:left="851"/>
        <w:jc w:val="both"/>
        <w:rPr>
          <w:rFonts w:ascii="Arial" w:eastAsia="Arial" w:hAnsi="Arial" w:cs="Arial"/>
          <w:sz w:val="20"/>
          <w:szCs w:val="20"/>
        </w:rPr>
      </w:pPr>
      <w:r>
        <w:rPr>
          <w:rFonts w:ascii="Arial" w:eastAsia="Arial" w:hAnsi="Arial" w:cs="Arial"/>
          <w:sz w:val="20"/>
          <w:szCs w:val="20"/>
        </w:rPr>
        <w:t xml:space="preserve">The </w:t>
      </w:r>
      <w:r w:rsidR="00C62551">
        <w:rPr>
          <w:rFonts w:ascii="Arial" w:eastAsia="Arial" w:hAnsi="Arial" w:cs="Arial"/>
          <w:sz w:val="20"/>
          <w:szCs w:val="20"/>
        </w:rPr>
        <w:t>Costumer</w:t>
      </w:r>
      <w:r>
        <w:rPr>
          <w:rFonts w:ascii="Arial" w:eastAsia="Arial" w:hAnsi="Arial" w:cs="Arial"/>
          <w:sz w:val="20"/>
          <w:szCs w:val="20"/>
        </w:rPr>
        <w:t xml:space="preserve"> reserves the right to verify the fulfilment of all security requirements in</w:t>
      </w:r>
      <w:r>
        <w:t xml:space="preserve"> </w:t>
      </w:r>
      <w:r>
        <w:rPr>
          <w:rFonts w:ascii="Arial" w:eastAsia="Arial" w:hAnsi="Arial" w:cs="Arial"/>
          <w:sz w:val="20"/>
          <w:szCs w:val="20"/>
        </w:rPr>
        <w:t xml:space="preserve">paragraphs 4.5 to 4.8 and in Annex 2 to this contract by means of a customer audit or inspection. </w:t>
      </w:r>
    </w:p>
    <w:p w14:paraId="00000171" w14:textId="221495CF" w:rsidR="003F1A6D" w:rsidRDefault="00DB5D40">
      <w:pPr>
        <w:pStyle w:val="P68B1DB1-Normln10"/>
        <w:numPr>
          <w:ilvl w:val="1"/>
          <w:numId w:val="23"/>
        </w:numPr>
        <w:spacing w:before="60" w:after="0" w:line="240" w:lineRule="auto"/>
        <w:ind w:left="851"/>
        <w:jc w:val="both"/>
      </w:pPr>
      <w:r>
        <w:t xml:space="preserve">As part of an inspection or audit at the </w:t>
      </w:r>
      <w:r w:rsidR="00C62551">
        <w:t>Provider</w:t>
      </w:r>
      <w:r>
        <w:t xml:space="preserve">'s premises, the </w:t>
      </w:r>
      <w:r w:rsidR="00C62551">
        <w:t>Provider</w:t>
      </w:r>
      <w:r>
        <w:t xml:space="preserve"> undertakes to provide proof of fulfilment of the requirement selected by the </w:t>
      </w:r>
      <w:r w:rsidR="00C62551">
        <w:t>Costumer</w:t>
      </w:r>
      <w:r>
        <w:t xml:space="preserve">, either physically at the </w:t>
      </w:r>
      <w:r w:rsidR="00C62551">
        <w:t>Provider</w:t>
      </w:r>
      <w:r>
        <w:t xml:space="preserve">'s premises or remotely by electronic means. </w:t>
      </w:r>
    </w:p>
    <w:p w14:paraId="00000172" w14:textId="77777777" w:rsidR="003F1A6D" w:rsidRDefault="003F1A6D">
      <w:pPr>
        <w:pBdr>
          <w:top w:val="nil"/>
          <w:left w:val="nil"/>
          <w:bottom w:val="nil"/>
          <w:right w:val="nil"/>
          <w:between w:val="nil"/>
        </w:pBdr>
        <w:spacing w:before="60" w:after="0" w:line="240" w:lineRule="auto"/>
        <w:ind w:left="426"/>
        <w:jc w:val="both"/>
        <w:rPr>
          <w:rFonts w:ascii="Arial" w:eastAsia="Arial" w:hAnsi="Arial" w:cs="Arial"/>
          <w:color w:val="000000"/>
        </w:rPr>
      </w:pPr>
    </w:p>
    <w:p w14:paraId="00000173" w14:textId="77777777" w:rsidR="003F1A6D" w:rsidRDefault="003F1A6D">
      <w:pPr>
        <w:pBdr>
          <w:top w:val="nil"/>
          <w:left w:val="nil"/>
          <w:bottom w:val="nil"/>
          <w:right w:val="nil"/>
          <w:between w:val="nil"/>
        </w:pBdr>
        <w:spacing w:before="60" w:after="0" w:line="240" w:lineRule="auto"/>
        <w:ind w:left="426"/>
        <w:jc w:val="both"/>
        <w:rPr>
          <w:rFonts w:ascii="Arial" w:eastAsia="Arial" w:hAnsi="Arial" w:cs="Arial"/>
          <w:color w:val="000000"/>
        </w:rPr>
      </w:pPr>
    </w:p>
    <w:p w14:paraId="00000174" w14:textId="77777777" w:rsidR="003F1A6D" w:rsidRDefault="00DB5D40">
      <w:pPr>
        <w:pStyle w:val="P68B1DB1-Normln4"/>
        <w:numPr>
          <w:ilvl w:val="0"/>
          <w:numId w:val="17"/>
        </w:numPr>
        <w:pBdr>
          <w:top w:val="nil"/>
          <w:left w:val="nil"/>
          <w:bottom w:val="nil"/>
          <w:right w:val="nil"/>
          <w:between w:val="nil"/>
        </w:pBdr>
        <w:spacing w:after="0" w:line="240" w:lineRule="auto"/>
        <w:ind w:left="426" w:hanging="426"/>
        <w:jc w:val="both"/>
      </w:pPr>
      <w:r>
        <w:t xml:space="preserve">Cybersecurity Incident Management: </w:t>
      </w:r>
    </w:p>
    <w:p w14:paraId="00000175" w14:textId="4EE9EF71" w:rsidR="003F1A6D" w:rsidRDefault="00DB5D40">
      <w:pPr>
        <w:pStyle w:val="P68B1DB1-Normln10"/>
        <w:numPr>
          <w:ilvl w:val="1"/>
          <w:numId w:val="16"/>
        </w:numPr>
        <w:spacing w:before="60" w:after="0" w:line="240" w:lineRule="auto"/>
        <w:ind w:left="851"/>
        <w:jc w:val="both"/>
      </w:pPr>
      <w:r>
        <w:t xml:space="preserve">The Provider is obliged to report to the </w:t>
      </w:r>
      <w:r w:rsidR="00C62551">
        <w:t>Costumer</w:t>
      </w:r>
      <w:r>
        <w:t xml:space="preserve"> any non-standard behavior and cyber security incidents that could have any connection with: </w:t>
      </w:r>
    </w:p>
    <w:p w14:paraId="00000176" w14:textId="5D23A7C0" w:rsidR="003F1A6D" w:rsidRDefault="00DB5D40">
      <w:pPr>
        <w:pStyle w:val="P68B1DB1-Normln10"/>
        <w:numPr>
          <w:ilvl w:val="2"/>
          <w:numId w:val="16"/>
        </w:numPr>
        <w:spacing w:before="60" w:after="0" w:line="240" w:lineRule="auto"/>
        <w:jc w:val="both"/>
      </w:pPr>
      <w:r>
        <w:t xml:space="preserve">the </w:t>
      </w:r>
      <w:r w:rsidR="00C62551">
        <w:t>Costumer</w:t>
      </w:r>
      <w:r>
        <w:t xml:space="preserve">'s information assets, </w:t>
      </w:r>
    </w:p>
    <w:p w14:paraId="00000177" w14:textId="326D5CCE" w:rsidR="003F1A6D" w:rsidRDefault="00DB5D40">
      <w:pPr>
        <w:pStyle w:val="P68B1DB1-Normln10"/>
        <w:numPr>
          <w:ilvl w:val="2"/>
          <w:numId w:val="16"/>
        </w:numPr>
        <w:spacing w:before="60" w:after="0" w:line="240" w:lineRule="auto"/>
        <w:jc w:val="both"/>
      </w:pPr>
      <w:r>
        <w:t xml:space="preserve">access data to the </w:t>
      </w:r>
      <w:r w:rsidR="00C62551">
        <w:t>Costumer</w:t>
      </w:r>
      <w:r>
        <w:t xml:space="preserve">'s information assets, </w:t>
      </w:r>
    </w:p>
    <w:p w14:paraId="00000178" w14:textId="6F589B92" w:rsidR="003F1A6D" w:rsidRDefault="00DB5D40">
      <w:pPr>
        <w:pStyle w:val="P68B1DB1-Normln10"/>
        <w:numPr>
          <w:ilvl w:val="2"/>
          <w:numId w:val="16"/>
        </w:numPr>
        <w:spacing w:before="60" w:after="0" w:line="240" w:lineRule="auto"/>
        <w:jc w:val="both"/>
      </w:pPr>
      <w:r>
        <w:t xml:space="preserve">information or data of the </w:t>
      </w:r>
      <w:r w:rsidR="00C62551">
        <w:t>Costumer</w:t>
      </w:r>
      <w:r>
        <w:t xml:space="preserve">.  </w:t>
      </w:r>
    </w:p>
    <w:p w14:paraId="00000179" w14:textId="1D542CDD" w:rsidR="003F1A6D" w:rsidRDefault="00DB5D40">
      <w:pPr>
        <w:pStyle w:val="P68B1DB1-Normln10"/>
        <w:numPr>
          <w:ilvl w:val="1"/>
          <w:numId w:val="16"/>
        </w:numPr>
        <w:spacing w:before="60" w:after="0" w:line="240" w:lineRule="auto"/>
        <w:ind w:left="851"/>
        <w:jc w:val="both"/>
      </w:pPr>
      <w:r>
        <w:t xml:space="preserve">v is also obliged to provide adequate cooperation in dealing with cyber security incidents and in forensic analysis of incidents related to the </w:t>
      </w:r>
      <w:r w:rsidR="00C62551">
        <w:t>Costumer</w:t>
      </w:r>
      <w:r>
        <w:t xml:space="preserve">'s information assets. </w:t>
      </w:r>
    </w:p>
    <w:p w14:paraId="0000017A" w14:textId="77777777" w:rsidR="003F1A6D" w:rsidRDefault="00DB5D40">
      <w:pPr>
        <w:pStyle w:val="P68B1DB1-Normln4"/>
        <w:numPr>
          <w:ilvl w:val="0"/>
          <w:numId w:val="17"/>
        </w:numPr>
        <w:pBdr>
          <w:top w:val="nil"/>
          <w:left w:val="nil"/>
          <w:bottom w:val="nil"/>
          <w:right w:val="nil"/>
          <w:between w:val="nil"/>
        </w:pBdr>
        <w:spacing w:before="60" w:after="0" w:line="240" w:lineRule="auto"/>
        <w:ind w:left="426" w:hanging="426"/>
        <w:jc w:val="both"/>
      </w:pPr>
      <w:r>
        <w:t xml:space="preserve">Change management </w:t>
      </w:r>
    </w:p>
    <w:p w14:paraId="0000017B" w14:textId="77777777" w:rsidR="003F1A6D" w:rsidRDefault="00DB5D40">
      <w:pPr>
        <w:pStyle w:val="P68B1DB1-Normln10"/>
        <w:numPr>
          <w:ilvl w:val="1"/>
          <w:numId w:val="16"/>
        </w:numPr>
        <w:spacing w:before="60" w:after="0" w:line="240" w:lineRule="auto"/>
        <w:ind w:left="851"/>
        <w:jc w:val="both"/>
      </w:pPr>
      <w:r>
        <w:t xml:space="preserve">The provider undertakes to record any changes it has made to the information asset. </w:t>
      </w:r>
    </w:p>
    <w:p w14:paraId="0000017C" w14:textId="18150FEC" w:rsidR="003F1A6D" w:rsidRDefault="00DB5D40">
      <w:pPr>
        <w:pStyle w:val="P68B1DB1-Normln10"/>
        <w:numPr>
          <w:ilvl w:val="1"/>
          <w:numId w:val="16"/>
        </w:numPr>
        <w:spacing w:before="60" w:after="0" w:line="240" w:lineRule="auto"/>
        <w:ind w:left="851"/>
        <w:jc w:val="both"/>
      </w:pPr>
      <w:r>
        <w:t>The Provider undertakes to enforce the recording of changes also with potential sub</w:t>
      </w:r>
      <w:r w:rsidR="000C12B1">
        <w:t>-p</w:t>
      </w:r>
      <w:r w:rsidR="00C62551">
        <w:t>rovider</w:t>
      </w:r>
      <w:r>
        <w:t xml:space="preserve">s. </w:t>
      </w:r>
    </w:p>
    <w:p w14:paraId="0000017D" w14:textId="77777777" w:rsidR="003F1A6D" w:rsidRDefault="00DB5D40">
      <w:pPr>
        <w:pStyle w:val="P68B1DB1-Normln10"/>
        <w:numPr>
          <w:ilvl w:val="1"/>
          <w:numId w:val="16"/>
        </w:numPr>
        <w:spacing w:before="60" w:after="0" w:line="240" w:lineRule="auto"/>
        <w:ind w:left="851"/>
        <w:jc w:val="both"/>
      </w:pPr>
      <w:r>
        <w:t xml:space="preserve">The record of the change shall contain at least the following information: </w:t>
      </w:r>
    </w:p>
    <w:p w14:paraId="0000017E" w14:textId="77777777" w:rsidR="003F1A6D" w:rsidRDefault="00DB5D40">
      <w:pPr>
        <w:pStyle w:val="P68B1DB1-Normln10"/>
        <w:numPr>
          <w:ilvl w:val="2"/>
          <w:numId w:val="16"/>
        </w:numPr>
        <w:spacing w:before="60" w:after="0" w:line="240" w:lineRule="auto"/>
        <w:jc w:val="both"/>
      </w:pPr>
      <w:r>
        <w:t xml:space="preserve">Date and time of change </w:t>
      </w:r>
    </w:p>
    <w:p w14:paraId="0000017F" w14:textId="77777777" w:rsidR="003F1A6D" w:rsidRDefault="00DB5D40">
      <w:pPr>
        <w:pStyle w:val="P68B1DB1-Normln10"/>
        <w:numPr>
          <w:ilvl w:val="2"/>
          <w:numId w:val="16"/>
        </w:numPr>
        <w:spacing w:before="60" w:after="0" w:line="240" w:lineRule="auto"/>
        <w:jc w:val="both"/>
      </w:pPr>
      <w:r>
        <w:t xml:space="preserve">Name of the person who made the change </w:t>
      </w:r>
    </w:p>
    <w:p w14:paraId="00000180" w14:textId="77777777" w:rsidR="003F1A6D" w:rsidRDefault="00DB5D40">
      <w:pPr>
        <w:pStyle w:val="P68B1DB1-Normln10"/>
        <w:numPr>
          <w:ilvl w:val="2"/>
          <w:numId w:val="16"/>
        </w:numPr>
        <w:spacing w:before="60" w:after="0" w:line="240" w:lineRule="auto"/>
        <w:jc w:val="both"/>
      </w:pPr>
      <w:r>
        <w:t xml:space="preserve">Title, description and purpose of the change </w:t>
      </w:r>
    </w:p>
    <w:p w14:paraId="00000181" w14:textId="71E8D353" w:rsidR="003F1A6D" w:rsidRDefault="00DB5D40">
      <w:pPr>
        <w:pStyle w:val="P68B1DB1-Normln10"/>
        <w:numPr>
          <w:ilvl w:val="1"/>
          <w:numId w:val="16"/>
        </w:numPr>
        <w:spacing w:before="60" w:after="0" w:line="240" w:lineRule="auto"/>
        <w:ind w:left="851"/>
        <w:jc w:val="both"/>
      </w:pPr>
      <w:r>
        <w:t xml:space="preserve">The Customer reserves the right to receive regular information on the records of all changes made by the Supplier and any </w:t>
      </w:r>
      <w:r w:rsidR="000C12B1">
        <w:t>sub-providers</w:t>
      </w:r>
      <w:r>
        <w:t xml:space="preserve">. </w:t>
      </w:r>
    </w:p>
    <w:p w14:paraId="00000182" w14:textId="2684E0EB" w:rsidR="003F1A6D" w:rsidRDefault="00DB5D40">
      <w:pPr>
        <w:pStyle w:val="P68B1DB1-Normln10"/>
        <w:numPr>
          <w:ilvl w:val="1"/>
          <w:numId w:val="16"/>
        </w:numPr>
        <w:spacing w:before="60" w:after="0" w:line="240" w:lineRule="auto"/>
        <w:ind w:left="851"/>
        <w:jc w:val="both"/>
      </w:pPr>
      <w:r>
        <w:t xml:space="preserve">The Provider undertakes to provide all changes made by the Provider, as well as any changes made by </w:t>
      </w:r>
      <w:r w:rsidR="000C12B1">
        <w:t>sub-providers</w:t>
      </w:r>
      <w:r>
        <w:t xml:space="preserve">, to the </w:t>
      </w:r>
      <w:r w:rsidR="00C62551">
        <w:t>Costumer</w:t>
      </w:r>
      <w:r>
        <w:t xml:space="preserve"> in the form of records in the Operating Log kept in the </w:t>
      </w:r>
      <w:r w:rsidR="00C62551">
        <w:t>Costumer</w:t>
      </w:r>
      <w:r>
        <w:t>'s SW.</w:t>
      </w:r>
    </w:p>
    <w:p w14:paraId="00000183" w14:textId="77777777" w:rsidR="003F1A6D" w:rsidRDefault="00DB5D40">
      <w:pPr>
        <w:pStyle w:val="P68B1DB1-Normln11"/>
        <w:numPr>
          <w:ilvl w:val="0"/>
          <w:numId w:val="24"/>
        </w:numPr>
        <w:pBdr>
          <w:top w:val="nil"/>
          <w:left w:val="nil"/>
          <w:bottom w:val="nil"/>
          <w:right w:val="nil"/>
          <w:between w:val="nil"/>
        </w:pBdr>
        <w:spacing w:before="60" w:after="0" w:line="240" w:lineRule="auto"/>
        <w:ind w:left="426" w:hanging="426"/>
        <w:jc w:val="both"/>
      </w:pPr>
      <w:r>
        <w:t xml:space="preserve">Cryptography: </w:t>
      </w:r>
    </w:p>
    <w:p w14:paraId="00000184" w14:textId="77777777" w:rsidR="003F1A6D" w:rsidRDefault="00DB5D40">
      <w:pPr>
        <w:pStyle w:val="P68B1DB1-Normln10"/>
        <w:numPr>
          <w:ilvl w:val="1"/>
          <w:numId w:val="23"/>
        </w:numPr>
        <w:spacing w:before="60" w:after="0" w:line="240" w:lineRule="auto"/>
        <w:ind w:left="851"/>
        <w:jc w:val="both"/>
      </w:pPr>
      <w:r>
        <w:t xml:space="preserve">In the event that cryptographic functions, algorithms or devices are used, configured or changed in IS or in the performance of this contract, these must meet at least the requirements set out in the Recommendation on Cryptographic Devices in the current version, which is valid at the time of the publication of the public contract and which is issued by the National Cyber and Information Security Authority on its website, as well as the following requirements: </w:t>
      </w:r>
    </w:p>
    <w:p w14:paraId="00000185" w14:textId="35308260" w:rsidR="003F1A6D" w:rsidRDefault="00DB5D40">
      <w:pPr>
        <w:pStyle w:val="P68B1DB1-Normln10"/>
        <w:numPr>
          <w:ilvl w:val="2"/>
          <w:numId w:val="23"/>
        </w:numPr>
        <w:spacing w:before="60" w:after="0" w:line="240" w:lineRule="auto"/>
        <w:jc w:val="both"/>
      </w:pPr>
      <w:r>
        <w:t xml:space="preserve">In general, proprietary/closed algorithms or standard algorithms modified by the </w:t>
      </w:r>
      <w:r w:rsidR="00C62551">
        <w:t>Provider</w:t>
      </w:r>
      <w:r>
        <w:t xml:space="preserve"> must not be used for encryption, electronic signature and </w:t>
      </w:r>
      <w:r>
        <w:lastRenderedPageBreak/>
        <w:t xml:space="preserve">fingerprinting (hashing), but those considered as standards, their functionality is generally known and described. </w:t>
      </w:r>
    </w:p>
    <w:p w14:paraId="00000186" w14:textId="77777777" w:rsidR="003F1A6D" w:rsidRDefault="00DB5D40">
      <w:pPr>
        <w:pStyle w:val="P68B1DB1-Normln10"/>
        <w:numPr>
          <w:ilvl w:val="2"/>
          <w:numId w:val="23"/>
        </w:numPr>
        <w:spacing w:before="60" w:after="0" w:line="240" w:lineRule="auto"/>
        <w:jc w:val="both"/>
      </w:pPr>
      <w:bookmarkStart w:id="7" w:name="_heading=h.1y3i5nw8uy4r" w:colFirst="0" w:colLast="0"/>
      <w:bookmarkEnd w:id="7"/>
      <w:r>
        <w:t xml:space="preserve">for storing passwords, so-called fast hash functions of type MD-X, SHA-X, etc. must not be used, but only approved functions in the above recommendation </w:t>
      </w:r>
    </w:p>
    <w:p w14:paraId="00000187" w14:textId="77777777" w:rsidR="003F1A6D" w:rsidRDefault="00DB5D40">
      <w:pPr>
        <w:pStyle w:val="P68B1DB1-Normln10"/>
        <w:numPr>
          <w:ilvl w:val="2"/>
          <w:numId w:val="23"/>
        </w:numPr>
        <w:spacing w:before="60" w:after="0" w:line="240" w:lineRule="auto"/>
        <w:jc w:val="both"/>
      </w:pPr>
      <w:r>
        <w:t xml:space="preserve">SSL/TLS </w:t>
      </w:r>
    </w:p>
    <w:p w14:paraId="00000188" w14:textId="77777777" w:rsidR="003F1A6D" w:rsidRDefault="00DB5D40">
      <w:pPr>
        <w:pStyle w:val="P68B1DB1-Normln10"/>
        <w:numPr>
          <w:ilvl w:val="3"/>
          <w:numId w:val="23"/>
        </w:numPr>
        <w:spacing w:before="60" w:after="0" w:line="240" w:lineRule="auto"/>
        <w:jc w:val="both"/>
      </w:pPr>
      <w:r>
        <w:t xml:space="preserve">protocol version at least TLSv1.2 and higher </w:t>
      </w:r>
    </w:p>
    <w:p w14:paraId="00000189" w14:textId="77777777" w:rsidR="003F1A6D" w:rsidRDefault="00DB5D40">
      <w:pPr>
        <w:pStyle w:val="P68B1DB1-Normln10"/>
        <w:numPr>
          <w:ilvl w:val="3"/>
          <w:numId w:val="23"/>
        </w:numPr>
        <w:spacing w:before="60" w:after="0" w:line="240" w:lineRule="auto"/>
        <w:jc w:val="both"/>
      </w:pPr>
      <w:r>
        <w:t xml:space="preserve">configuration </w:t>
      </w:r>
    </w:p>
    <w:p w14:paraId="0000018A" w14:textId="77777777" w:rsidR="003F1A6D" w:rsidRDefault="00DB5D40">
      <w:pPr>
        <w:pStyle w:val="P68B1DB1-Normln10"/>
        <w:numPr>
          <w:ilvl w:val="4"/>
          <w:numId w:val="23"/>
        </w:numPr>
        <w:spacing w:before="60" w:after="0" w:line="240" w:lineRule="auto"/>
        <w:jc w:val="both"/>
      </w:pPr>
      <w:r>
        <w:t xml:space="preserve">cipher suite must be selected based on server preferred order </w:t>
      </w:r>
    </w:p>
    <w:p w14:paraId="0000018B" w14:textId="77777777" w:rsidR="003F1A6D" w:rsidRDefault="00DB5D40">
      <w:pPr>
        <w:pStyle w:val="P68B1DB1-Normln10"/>
        <w:numPr>
          <w:ilvl w:val="4"/>
          <w:numId w:val="23"/>
        </w:numPr>
        <w:spacing w:before="60" w:after="0" w:line="240" w:lineRule="auto"/>
        <w:jc w:val="both"/>
      </w:pPr>
      <w:r>
        <w:t xml:space="preserve">higher priority must be given to cipher suites that contain variants of asymmetric algorithms with elliptic curves, e.g.: </w:t>
      </w:r>
    </w:p>
    <w:p w14:paraId="0000018C" w14:textId="77777777" w:rsidR="003F1A6D" w:rsidRDefault="00DB5D40">
      <w:pPr>
        <w:pStyle w:val="P68B1DB1-Normln10"/>
        <w:numPr>
          <w:ilvl w:val="5"/>
          <w:numId w:val="23"/>
        </w:numPr>
        <w:spacing w:before="60" w:after="0" w:line="240" w:lineRule="auto"/>
        <w:jc w:val="both"/>
      </w:pPr>
      <w:r>
        <w:t xml:space="preserve">ECDHE must have higher priority than DHE </w:t>
      </w:r>
    </w:p>
    <w:p w14:paraId="0000018D" w14:textId="77777777" w:rsidR="003F1A6D" w:rsidRDefault="00DB5D40">
      <w:pPr>
        <w:pStyle w:val="P68B1DB1-Normln10"/>
        <w:numPr>
          <w:ilvl w:val="5"/>
          <w:numId w:val="23"/>
        </w:numPr>
        <w:spacing w:before="60" w:after="0" w:line="240" w:lineRule="auto"/>
        <w:jc w:val="both"/>
      </w:pPr>
      <w:r>
        <w:t xml:space="preserve">ECDSA must have higher priority than DSA </w:t>
      </w:r>
    </w:p>
    <w:p w14:paraId="0000018E" w14:textId="77777777" w:rsidR="003F1A6D" w:rsidRDefault="00DB5D40">
      <w:pPr>
        <w:pStyle w:val="P68B1DB1-Normln10"/>
        <w:numPr>
          <w:ilvl w:val="4"/>
          <w:numId w:val="23"/>
        </w:numPr>
        <w:spacing w:before="60" w:after="0" w:line="240" w:lineRule="auto"/>
        <w:jc w:val="both"/>
      </w:pPr>
      <w:r>
        <w:t xml:space="preserve">all EXPORT cipher suites must be disabled </w:t>
      </w:r>
    </w:p>
    <w:p w14:paraId="0000018F" w14:textId="77777777" w:rsidR="003F1A6D" w:rsidRDefault="00DB5D40">
      <w:pPr>
        <w:pStyle w:val="P68B1DB1-Normln10"/>
        <w:numPr>
          <w:ilvl w:val="4"/>
          <w:numId w:val="23"/>
        </w:numPr>
        <w:spacing w:before="60" w:after="0" w:line="240" w:lineRule="auto"/>
        <w:jc w:val="both"/>
      </w:pPr>
      <w:r>
        <w:t>algorithms and key exchange functions</w:t>
      </w:r>
    </w:p>
    <w:p w14:paraId="00000190" w14:textId="77777777" w:rsidR="003F1A6D" w:rsidRDefault="00DB5D40">
      <w:pPr>
        <w:pStyle w:val="P68B1DB1-Normln10"/>
        <w:numPr>
          <w:ilvl w:val="5"/>
          <w:numId w:val="23"/>
        </w:numPr>
        <w:spacing w:before="60" w:after="0" w:line="240" w:lineRule="auto"/>
        <w:jc w:val="both"/>
      </w:pPr>
      <w:r>
        <w:t xml:space="preserve">key exchange algorithm must support Perfect Forward Secrecy </w:t>
      </w:r>
    </w:p>
    <w:p w14:paraId="00000191" w14:textId="2876CC07" w:rsidR="003F1A6D" w:rsidRDefault="00DB5D40">
      <w:pPr>
        <w:pStyle w:val="P68B1DB1-Normln10"/>
        <w:numPr>
          <w:ilvl w:val="5"/>
          <w:numId w:val="23"/>
        </w:numPr>
        <w:spacing w:before="60" w:after="0" w:line="240" w:lineRule="auto"/>
        <w:jc w:val="both"/>
      </w:pPr>
      <w:r>
        <w:t xml:space="preserve">i.e. the encryption key is exchanged between the </w:t>
      </w:r>
      <w:r w:rsidR="00C62551">
        <w:t>Costumer</w:t>
      </w:r>
      <w:r>
        <w:t xml:space="preserve"> and the server so that it cannot be obtained with the knowledge of the server's private key, e.g. the Diffie-Hellman (DH or ECDH) algorithm must be used </w:t>
      </w:r>
    </w:p>
    <w:p w14:paraId="00000192" w14:textId="77777777" w:rsidR="003F1A6D" w:rsidRDefault="00DB5D40">
      <w:pPr>
        <w:pStyle w:val="P68B1DB1-Normln10"/>
        <w:numPr>
          <w:ilvl w:val="5"/>
          <w:numId w:val="23"/>
        </w:numPr>
        <w:spacing w:before="60" w:after="0" w:line="240" w:lineRule="auto"/>
        <w:jc w:val="both"/>
      </w:pPr>
      <w:r>
        <w:t xml:space="preserve">and it must be the so-called ephemeral Diffie-Hellman (DHE, ECDHE), i.e. a new set of Diffie-Hellman keys is generated for each session  </w:t>
      </w:r>
    </w:p>
    <w:p w14:paraId="00000193" w14:textId="77777777" w:rsidR="003F1A6D" w:rsidRDefault="00DB5D40">
      <w:pPr>
        <w:pStyle w:val="P68B1DB1-Normln10"/>
        <w:numPr>
          <w:ilvl w:val="5"/>
          <w:numId w:val="23"/>
        </w:numPr>
        <w:spacing w:before="60" w:after="0" w:line="240" w:lineRule="auto"/>
        <w:jc w:val="both"/>
      </w:pPr>
      <w:r>
        <w:t xml:space="preserve">key lengths: </w:t>
      </w:r>
    </w:p>
    <w:p w14:paraId="00000194" w14:textId="77777777" w:rsidR="003F1A6D" w:rsidRDefault="00DB5D40">
      <w:pPr>
        <w:pStyle w:val="P68B1DB1-Normln10"/>
        <w:numPr>
          <w:ilvl w:val="6"/>
          <w:numId w:val="23"/>
        </w:numPr>
        <w:spacing w:before="60" w:after="0" w:line="240" w:lineRule="auto"/>
        <w:jc w:val="both"/>
      </w:pPr>
      <w:r>
        <w:t xml:space="preserve">for Diffie-Hellman (DH) - 3072 bits and more </w:t>
      </w:r>
    </w:p>
    <w:p w14:paraId="00000195" w14:textId="77777777" w:rsidR="003F1A6D" w:rsidRDefault="00DB5D40">
      <w:pPr>
        <w:pStyle w:val="P68B1DB1-Normln10"/>
        <w:numPr>
          <w:ilvl w:val="6"/>
          <w:numId w:val="23"/>
        </w:numPr>
        <w:spacing w:before="60" w:after="0" w:line="240" w:lineRule="auto"/>
        <w:jc w:val="both"/>
      </w:pPr>
      <w:r>
        <w:t xml:space="preserve">for Elliptic Curve Diffie-Hellman (ECDH) – 256 bits and above </w:t>
      </w:r>
    </w:p>
    <w:p w14:paraId="00000196" w14:textId="77777777" w:rsidR="003F1A6D" w:rsidRDefault="00DB5D40">
      <w:pPr>
        <w:pStyle w:val="P68B1DB1-Normln10"/>
        <w:numPr>
          <w:ilvl w:val="5"/>
          <w:numId w:val="23"/>
        </w:numPr>
        <w:spacing w:before="60" w:after="0" w:line="240" w:lineRule="auto"/>
        <w:jc w:val="both"/>
      </w:pPr>
      <w:r>
        <w:t xml:space="preserve">Anonymous key exchange must not be used </w:t>
      </w:r>
    </w:p>
    <w:p w14:paraId="00000197" w14:textId="77777777" w:rsidR="003F1A6D" w:rsidRDefault="00DB5D40">
      <w:pPr>
        <w:pStyle w:val="P68B1DB1-Normln10"/>
        <w:numPr>
          <w:ilvl w:val="4"/>
          <w:numId w:val="23"/>
        </w:numPr>
        <w:spacing w:before="60" w:after="0" w:line="240" w:lineRule="auto"/>
        <w:jc w:val="both"/>
      </w:pPr>
      <w:r>
        <w:t xml:space="preserve">Algorithms and Functions for Authentication </w:t>
      </w:r>
    </w:p>
    <w:p w14:paraId="00000198" w14:textId="77777777" w:rsidR="003F1A6D" w:rsidRDefault="00DB5D40">
      <w:pPr>
        <w:pStyle w:val="P68B1DB1-Normln10"/>
        <w:numPr>
          <w:ilvl w:val="5"/>
          <w:numId w:val="23"/>
        </w:numPr>
        <w:spacing w:before="60" w:after="0" w:line="240" w:lineRule="auto"/>
        <w:jc w:val="both"/>
      </w:pPr>
      <w:r>
        <w:t xml:space="preserve">minimum key lengths: </w:t>
      </w:r>
    </w:p>
    <w:p w14:paraId="00000199" w14:textId="77777777" w:rsidR="003F1A6D" w:rsidRDefault="00DB5D40">
      <w:pPr>
        <w:pStyle w:val="P68B1DB1-Normln10"/>
        <w:numPr>
          <w:ilvl w:val="6"/>
          <w:numId w:val="23"/>
        </w:numPr>
        <w:spacing w:before="60" w:after="0" w:line="240" w:lineRule="auto"/>
        <w:jc w:val="both"/>
      </w:pPr>
      <w:r>
        <w:t xml:space="preserve">RSA - 3072 bits and more </w:t>
      </w:r>
    </w:p>
    <w:p w14:paraId="0000019A" w14:textId="77777777" w:rsidR="003F1A6D" w:rsidRDefault="00DB5D40">
      <w:pPr>
        <w:pStyle w:val="P68B1DB1-Normln10"/>
        <w:numPr>
          <w:ilvl w:val="6"/>
          <w:numId w:val="23"/>
        </w:numPr>
        <w:spacing w:before="60" w:after="0" w:line="240" w:lineRule="auto"/>
        <w:jc w:val="both"/>
      </w:pPr>
      <w:r>
        <w:t>ECDSA - 256 bits</w:t>
      </w:r>
    </w:p>
    <w:p w14:paraId="0000019B" w14:textId="77777777" w:rsidR="003F1A6D" w:rsidRDefault="00DB5D40">
      <w:pPr>
        <w:pStyle w:val="P68B1DB1-Normln10"/>
        <w:numPr>
          <w:ilvl w:val="5"/>
          <w:numId w:val="23"/>
        </w:numPr>
        <w:spacing w:before="60" w:after="0" w:line="240" w:lineRule="auto"/>
        <w:jc w:val="both"/>
      </w:pPr>
      <w:r>
        <w:t xml:space="preserve">algorithms and functions for symmetric encryption </w:t>
      </w:r>
    </w:p>
    <w:p w14:paraId="0000019C" w14:textId="77777777" w:rsidR="003F1A6D" w:rsidRDefault="00DB5D40">
      <w:pPr>
        <w:pStyle w:val="P68B1DB1-Normln10"/>
        <w:numPr>
          <w:ilvl w:val="6"/>
          <w:numId w:val="23"/>
        </w:numPr>
        <w:spacing w:before="60" w:after="0" w:line="240" w:lineRule="auto"/>
        <w:jc w:val="both"/>
      </w:pPr>
      <w:r>
        <w:t xml:space="preserve">NULL in cipher suites must not be used </w:t>
      </w:r>
    </w:p>
    <w:p w14:paraId="0000019D" w14:textId="77777777" w:rsidR="003F1A6D" w:rsidRDefault="00DB5D40">
      <w:pPr>
        <w:pStyle w:val="P68B1DB1-Normln10"/>
        <w:numPr>
          <w:ilvl w:val="6"/>
          <w:numId w:val="23"/>
        </w:numPr>
        <w:spacing w:before="60" w:after="0" w:line="240" w:lineRule="auto"/>
        <w:jc w:val="both"/>
      </w:pPr>
      <w:r>
        <w:t xml:space="preserve">the following ciphers shall not be used: </w:t>
      </w:r>
    </w:p>
    <w:p w14:paraId="0000019E" w14:textId="77777777" w:rsidR="003F1A6D" w:rsidRDefault="00DB5D40">
      <w:pPr>
        <w:pStyle w:val="P68B1DB1-Normln10"/>
        <w:numPr>
          <w:ilvl w:val="7"/>
          <w:numId w:val="23"/>
        </w:numPr>
        <w:spacing w:before="60" w:after="0" w:line="240" w:lineRule="auto"/>
        <w:jc w:val="both"/>
      </w:pPr>
      <w:r>
        <w:t xml:space="preserve">DES, 3DES, RC4 </w:t>
      </w:r>
    </w:p>
    <w:p w14:paraId="0000019F" w14:textId="77777777" w:rsidR="003F1A6D" w:rsidRDefault="00DB5D40">
      <w:pPr>
        <w:pStyle w:val="P68B1DB1-Normln10"/>
        <w:numPr>
          <w:ilvl w:val="6"/>
          <w:numId w:val="23"/>
        </w:numPr>
        <w:spacing w:before="60" w:after="0" w:line="240" w:lineRule="auto"/>
        <w:jc w:val="both"/>
      </w:pPr>
      <w:r>
        <w:t xml:space="preserve">Minimum length of encryption key - 128 bits </w:t>
      </w:r>
    </w:p>
    <w:p w14:paraId="000001A0" w14:textId="77777777" w:rsidR="003F1A6D" w:rsidRDefault="00DB5D40">
      <w:pPr>
        <w:pStyle w:val="P68B1DB1-Normln10"/>
        <w:numPr>
          <w:ilvl w:val="6"/>
          <w:numId w:val="23"/>
        </w:numPr>
        <w:spacing w:before="60" w:after="0" w:line="240" w:lineRule="auto"/>
        <w:jc w:val="both"/>
      </w:pPr>
      <w:r>
        <w:t xml:space="preserve">cipher suites with ciphers with larger key lengths must have a higher priority in the </w:t>
      </w:r>
      <w:proofErr w:type="spellStart"/>
      <w:r>
        <w:t>ciphersuites</w:t>
      </w:r>
      <w:proofErr w:type="spellEnd"/>
      <w:r>
        <w:t xml:space="preserve"> list than with smaller key lengths </w:t>
      </w:r>
    </w:p>
    <w:p w14:paraId="000001A1" w14:textId="77777777" w:rsidR="003F1A6D" w:rsidRDefault="00DB5D40">
      <w:pPr>
        <w:pStyle w:val="P68B1DB1-Normln10"/>
        <w:numPr>
          <w:ilvl w:val="5"/>
          <w:numId w:val="23"/>
        </w:numPr>
        <w:spacing w:before="60" w:after="0" w:line="240" w:lineRule="auto"/>
        <w:jc w:val="both"/>
      </w:pPr>
      <w:r>
        <w:t xml:space="preserve">MAC (Message Authentication Code) </w:t>
      </w:r>
    </w:p>
    <w:p w14:paraId="000001A2" w14:textId="77777777" w:rsidR="003F1A6D" w:rsidRDefault="00DB5D40">
      <w:pPr>
        <w:pStyle w:val="P68B1DB1-Normln10"/>
        <w:numPr>
          <w:ilvl w:val="6"/>
          <w:numId w:val="23"/>
        </w:numPr>
        <w:spacing w:before="60" w:after="0" w:line="240" w:lineRule="auto"/>
        <w:jc w:val="both"/>
      </w:pPr>
      <w:r>
        <w:t xml:space="preserve">use of the SHA function with a minimum hash length of 256 bits </w:t>
      </w:r>
    </w:p>
    <w:p w14:paraId="000001A3" w14:textId="77777777" w:rsidR="003F1A6D" w:rsidRDefault="00DB5D40">
      <w:pPr>
        <w:pStyle w:val="P68B1DB1-Normln10"/>
        <w:numPr>
          <w:ilvl w:val="5"/>
          <w:numId w:val="23"/>
        </w:numPr>
        <w:spacing w:before="60" w:after="0" w:line="240" w:lineRule="auto"/>
        <w:jc w:val="both"/>
      </w:pPr>
      <w:r>
        <w:t xml:space="preserve">higher fingerprint lengths must have higher priority in cipher suites </w:t>
      </w:r>
    </w:p>
    <w:p w14:paraId="000001A4" w14:textId="77777777" w:rsidR="003F1A6D" w:rsidRDefault="003F1A6D">
      <w:pPr>
        <w:spacing w:before="60" w:after="0" w:line="240" w:lineRule="auto"/>
        <w:rPr>
          <w:rFonts w:ascii="Arial" w:eastAsia="Arial" w:hAnsi="Arial" w:cs="Arial"/>
          <w:sz w:val="20"/>
          <w:szCs w:val="20"/>
        </w:rPr>
      </w:pPr>
      <w:bookmarkStart w:id="8" w:name="_heading=h.n0cgiizeycz9" w:colFirst="0" w:colLast="0"/>
      <w:bookmarkEnd w:id="8"/>
    </w:p>
    <w:p w14:paraId="000001A5" w14:textId="77777777" w:rsidR="003F1A6D" w:rsidRDefault="00DB5D40">
      <w:pPr>
        <w:pStyle w:val="P68B1DB1-Normln10"/>
        <w:numPr>
          <w:ilvl w:val="2"/>
          <w:numId w:val="23"/>
        </w:numPr>
        <w:spacing w:before="60" w:after="0" w:line="240" w:lineRule="auto"/>
        <w:jc w:val="both"/>
      </w:pPr>
      <w:bookmarkStart w:id="9" w:name="_heading=h.2ojdhbnawucm" w:colFirst="0" w:colLast="0"/>
      <w:bookmarkEnd w:id="9"/>
      <w:r>
        <w:lastRenderedPageBreak/>
        <w:t xml:space="preserve">TLS cipher suites </w:t>
      </w:r>
    </w:p>
    <w:p w14:paraId="000001A6" w14:textId="77777777" w:rsidR="003F1A6D" w:rsidRDefault="00DB5D40">
      <w:pPr>
        <w:pStyle w:val="P68B1DB1-Normln10"/>
        <w:numPr>
          <w:ilvl w:val="3"/>
          <w:numId w:val="23"/>
        </w:numPr>
        <w:spacing w:before="60" w:after="0" w:line="240" w:lineRule="auto"/>
        <w:jc w:val="both"/>
      </w:pPr>
      <w:r>
        <w:t xml:space="preserve">Recommended cipher suites (in the recommended order) that meet the above requirements </w:t>
      </w:r>
    </w:p>
    <w:p w14:paraId="000001A7" w14:textId="77777777" w:rsidR="003F1A6D" w:rsidRDefault="00DB5D40">
      <w:pPr>
        <w:pStyle w:val="P68B1DB1-Normln10"/>
        <w:numPr>
          <w:ilvl w:val="4"/>
          <w:numId w:val="23"/>
        </w:numPr>
        <w:spacing w:before="60" w:after="0" w:line="240" w:lineRule="auto"/>
        <w:jc w:val="both"/>
      </w:pPr>
      <w:r>
        <w:t xml:space="preserve">TLS1.3: </w:t>
      </w:r>
    </w:p>
    <w:p w14:paraId="000001A8" w14:textId="77777777" w:rsidR="003F1A6D" w:rsidRDefault="00DB5D40">
      <w:pPr>
        <w:pStyle w:val="P68B1DB1-Normln10"/>
        <w:numPr>
          <w:ilvl w:val="5"/>
          <w:numId w:val="23"/>
        </w:numPr>
        <w:spacing w:before="60" w:after="0" w:line="240" w:lineRule="auto"/>
        <w:jc w:val="both"/>
      </w:pPr>
      <w:r>
        <w:t>TLS_AES_256_GCM_SHA384</w:t>
      </w:r>
    </w:p>
    <w:p w14:paraId="000001A9" w14:textId="77777777" w:rsidR="003F1A6D" w:rsidRDefault="00DB5D40">
      <w:pPr>
        <w:pStyle w:val="P68B1DB1-Normln10"/>
        <w:numPr>
          <w:ilvl w:val="5"/>
          <w:numId w:val="23"/>
        </w:numPr>
        <w:spacing w:before="60" w:after="0" w:line="240" w:lineRule="auto"/>
        <w:jc w:val="both"/>
      </w:pPr>
      <w:r>
        <w:t>TLS_AES_128_GCM_SHA256</w:t>
      </w:r>
    </w:p>
    <w:p w14:paraId="000001AA" w14:textId="77777777" w:rsidR="003F1A6D" w:rsidRDefault="00DB5D40">
      <w:pPr>
        <w:pStyle w:val="P68B1DB1-Normln10"/>
        <w:numPr>
          <w:ilvl w:val="5"/>
          <w:numId w:val="23"/>
        </w:numPr>
        <w:spacing w:before="60" w:after="0" w:line="240" w:lineRule="auto"/>
        <w:jc w:val="both"/>
      </w:pPr>
      <w:r>
        <w:t>TLS_CHACHA20_POLY1305_SHA256</w:t>
      </w:r>
    </w:p>
    <w:p w14:paraId="000001AB" w14:textId="77777777" w:rsidR="003F1A6D" w:rsidRDefault="00DB5D40">
      <w:pPr>
        <w:pStyle w:val="P68B1DB1-Normln10"/>
        <w:numPr>
          <w:ilvl w:val="5"/>
          <w:numId w:val="23"/>
        </w:numPr>
        <w:spacing w:before="60" w:after="0" w:line="240" w:lineRule="auto"/>
        <w:jc w:val="both"/>
      </w:pPr>
      <w:r>
        <w:t>TLS_AES_128_CCM_SHA256</w:t>
      </w:r>
    </w:p>
    <w:p w14:paraId="000001AC" w14:textId="77777777" w:rsidR="003F1A6D" w:rsidRDefault="00DB5D40">
      <w:pPr>
        <w:pStyle w:val="P68B1DB1-Normln10"/>
        <w:numPr>
          <w:ilvl w:val="4"/>
          <w:numId w:val="23"/>
        </w:numPr>
        <w:spacing w:before="60" w:after="0" w:line="240" w:lineRule="auto"/>
        <w:jc w:val="both"/>
      </w:pPr>
      <w:r>
        <w:t xml:space="preserve">TLS1.2: </w:t>
      </w:r>
    </w:p>
    <w:p w14:paraId="000001AD" w14:textId="77777777" w:rsidR="003F1A6D" w:rsidRDefault="00DB5D40">
      <w:pPr>
        <w:pStyle w:val="P68B1DB1-Normln10"/>
        <w:numPr>
          <w:ilvl w:val="5"/>
          <w:numId w:val="23"/>
        </w:numPr>
        <w:spacing w:before="60" w:after="0" w:line="240" w:lineRule="auto"/>
        <w:jc w:val="both"/>
      </w:pPr>
      <w:r>
        <w:t>TLS_ECDHE_ECDSA_WITH_AES_256_GCM_SHA384</w:t>
      </w:r>
    </w:p>
    <w:p w14:paraId="000001AE" w14:textId="77777777" w:rsidR="003F1A6D" w:rsidRDefault="00DB5D40">
      <w:pPr>
        <w:pStyle w:val="P68B1DB1-Normln10"/>
        <w:numPr>
          <w:ilvl w:val="5"/>
          <w:numId w:val="23"/>
        </w:numPr>
        <w:spacing w:before="60" w:after="0" w:line="240" w:lineRule="auto"/>
        <w:jc w:val="both"/>
      </w:pPr>
      <w:r>
        <w:t>TLS_ECDHE_ECDSA_WITH_AES_128_GCM_SHA256</w:t>
      </w:r>
    </w:p>
    <w:p w14:paraId="000001AF" w14:textId="77777777" w:rsidR="003F1A6D" w:rsidRDefault="00DB5D40">
      <w:pPr>
        <w:pStyle w:val="P68B1DB1-Normln10"/>
        <w:numPr>
          <w:ilvl w:val="5"/>
          <w:numId w:val="23"/>
        </w:numPr>
        <w:spacing w:before="60" w:after="0" w:line="240" w:lineRule="auto"/>
        <w:jc w:val="both"/>
      </w:pPr>
      <w:r>
        <w:t>TLS_ECDHE_ECDSA_WITH_AES_256_CCM</w:t>
      </w:r>
    </w:p>
    <w:p w14:paraId="000001B0" w14:textId="77777777" w:rsidR="003F1A6D" w:rsidRDefault="00DB5D40">
      <w:pPr>
        <w:pStyle w:val="P68B1DB1-Normln10"/>
        <w:numPr>
          <w:ilvl w:val="5"/>
          <w:numId w:val="23"/>
        </w:numPr>
        <w:spacing w:before="60" w:after="0" w:line="240" w:lineRule="auto"/>
        <w:jc w:val="both"/>
      </w:pPr>
      <w:r>
        <w:t>TLS_ECDHE_ECDSA_WITH_AES_128_CCM</w:t>
      </w:r>
    </w:p>
    <w:p w14:paraId="000001B1" w14:textId="77777777" w:rsidR="003F1A6D" w:rsidRDefault="00DB5D40">
      <w:pPr>
        <w:pStyle w:val="P68B1DB1-Normln10"/>
        <w:numPr>
          <w:ilvl w:val="5"/>
          <w:numId w:val="23"/>
        </w:numPr>
        <w:spacing w:before="60" w:after="0" w:line="240" w:lineRule="auto"/>
        <w:jc w:val="both"/>
      </w:pPr>
      <w:r>
        <w:t>TLS_ECDHE_RSA_WITH_AES_256_GCM_SHA384</w:t>
      </w:r>
    </w:p>
    <w:p w14:paraId="000001B2" w14:textId="77777777" w:rsidR="003F1A6D" w:rsidRDefault="00DB5D40">
      <w:pPr>
        <w:pStyle w:val="P68B1DB1-Normln10"/>
        <w:numPr>
          <w:ilvl w:val="5"/>
          <w:numId w:val="23"/>
        </w:numPr>
        <w:spacing w:before="60" w:after="0" w:line="240" w:lineRule="auto"/>
        <w:jc w:val="both"/>
      </w:pPr>
      <w:r>
        <w:t>TLS_ECDHE_RSA_WITH_AES_128_GCM_SHA256</w:t>
      </w:r>
    </w:p>
    <w:p w14:paraId="000001B3" w14:textId="77777777" w:rsidR="003F1A6D" w:rsidRDefault="00DB5D40">
      <w:pPr>
        <w:pStyle w:val="P68B1DB1-Normln10"/>
        <w:numPr>
          <w:ilvl w:val="5"/>
          <w:numId w:val="23"/>
        </w:numPr>
        <w:spacing w:before="60" w:after="0" w:line="240" w:lineRule="auto"/>
        <w:jc w:val="both"/>
      </w:pPr>
      <w:r>
        <w:t>TLS_ECDHE_ECDSA_WITH_CHACHA20_POLY1305_SHA256</w:t>
      </w:r>
    </w:p>
    <w:p w14:paraId="000001B4" w14:textId="77777777" w:rsidR="003F1A6D" w:rsidRDefault="00DB5D40">
      <w:pPr>
        <w:pStyle w:val="P68B1DB1-Normln10"/>
        <w:numPr>
          <w:ilvl w:val="5"/>
          <w:numId w:val="23"/>
        </w:numPr>
        <w:spacing w:before="60" w:after="0" w:line="240" w:lineRule="auto"/>
        <w:jc w:val="both"/>
      </w:pPr>
      <w:r>
        <w:t>TLS_ECDHE_RSA_WITH_CHACHA20_POLY1305_SHA256</w:t>
      </w:r>
    </w:p>
    <w:p w14:paraId="000001B5" w14:textId="77777777" w:rsidR="003F1A6D" w:rsidRDefault="00DB5D40">
      <w:pPr>
        <w:pStyle w:val="P68B1DB1-Normln10"/>
        <w:numPr>
          <w:ilvl w:val="4"/>
          <w:numId w:val="23"/>
        </w:numPr>
        <w:spacing w:before="60" w:after="0" w:line="240" w:lineRule="auto"/>
        <w:jc w:val="both"/>
      </w:pPr>
      <w:r>
        <w:t xml:space="preserve">Where PKI cannot be used, PSK ciphers can be used: </w:t>
      </w:r>
    </w:p>
    <w:p w14:paraId="000001B6" w14:textId="77777777" w:rsidR="003F1A6D" w:rsidRDefault="00DB5D40">
      <w:pPr>
        <w:pStyle w:val="P68B1DB1-Normln10"/>
        <w:numPr>
          <w:ilvl w:val="5"/>
          <w:numId w:val="23"/>
        </w:numPr>
        <w:spacing w:before="60" w:after="0" w:line="240" w:lineRule="auto"/>
        <w:jc w:val="both"/>
      </w:pPr>
      <w:r>
        <w:t>TLS_ECDHE_PSK_WITH_AES_256_GCM_SHA384</w:t>
      </w:r>
    </w:p>
    <w:p w14:paraId="000001B7" w14:textId="77777777" w:rsidR="003F1A6D" w:rsidRDefault="00DB5D40">
      <w:pPr>
        <w:pStyle w:val="P68B1DB1-Normln10"/>
        <w:numPr>
          <w:ilvl w:val="5"/>
          <w:numId w:val="23"/>
        </w:numPr>
        <w:spacing w:before="60" w:after="0" w:line="240" w:lineRule="auto"/>
        <w:jc w:val="both"/>
      </w:pPr>
      <w:r>
        <w:t>TLS_ECDHE_PSK_WITH_AES_128_GCM_SHA256</w:t>
      </w:r>
    </w:p>
    <w:p w14:paraId="000001B8" w14:textId="77777777" w:rsidR="003F1A6D" w:rsidRDefault="00DB5D40">
      <w:pPr>
        <w:pStyle w:val="P68B1DB1-Normln10"/>
        <w:numPr>
          <w:ilvl w:val="5"/>
          <w:numId w:val="23"/>
        </w:numPr>
        <w:spacing w:before="60" w:after="0" w:line="240" w:lineRule="auto"/>
        <w:jc w:val="both"/>
      </w:pPr>
      <w:r>
        <w:t>TLS_ECDHE_PSK_WITH_AES_128_CCM_SHA256</w:t>
      </w:r>
    </w:p>
    <w:p w14:paraId="000001B9" w14:textId="77777777" w:rsidR="003F1A6D" w:rsidRDefault="00DB5D40">
      <w:pPr>
        <w:pStyle w:val="P68B1DB1-Normln10"/>
        <w:numPr>
          <w:ilvl w:val="5"/>
          <w:numId w:val="23"/>
        </w:numPr>
        <w:spacing w:before="60" w:after="0" w:line="240" w:lineRule="auto"/>
        <w:jc w:val="both"/>
      </w:pPr>
      <w:r>
        <w:t xml:space="preserve">TLS_ECDHE_PSK_WITH_CHACHA20_POLY1305_SHA256 </w:t>
      </w:r>
    </w:p>
    <w:p w14:paraId="000001BA" w14:textId="1ABFD88D" w:rsidR="003F1A6D" w:rsidRDefault="00DB5D40">
      <w:pPr>
        <w:spacing w:after="0" w:line="240" w:lineRule="auto"/>
      </w:pPr>
      <w:r>
        <w:rPr>
          <w:rFonts w:ascii="Arial" w:eastAsia="Arial" w:hAnsi="Arial" w:cs="Arial"/>
          <w:sz w:val="20"/>
          <w:szCs w:val="20"/>
        </w:rPr>
        <w:t xml:space="preserve">The </w:t>
      </w:r>
      <w:r w:rsidR="00C62551">
        <w:rPr>
          <w:rFonts w:ascii="Arial" w:eastAsia="Arial" w:hAnsi="Arial" w:cs="Arial"/>
          <w:sz w:val="20"/>
          <w:szCs w:val="20"/>
        </w:rPr>
        <w:t>Provider</w:t>
      </w:r>
      <w:r>
        <w:rPr>
          <w:rFonts w:ascii="Arial" w:eastAsia="Arial" w:hAnsi="Arial" w:cs="Arial"/>
          <w:sz w:val="20"/>
          <w:szCs w:val="20"/>
        </w:rPr>
        <w:t xml:space="preserve"> will use these recommended cipher suites to configure web servers and applications. In the event that it is necessary to emphasize the backward compatibility of older devices that do not support these algorithms, the use of such algorithms will be explicitly approved by the </w:t>
      </w:r>
      <w:r w:rsidR="00C62551">
        <w:rPr>
          <w:rFonts w:ascii="Arial" w:eastAsia="Arial" w:hAnsi="Arial" w:cs="Arial"/>
          <w:sz w:val="20"/>
          <w:szCs w:val="20"/>
        </w:rPr>
        <w:t>Costumer</w:t>
      </w:r>
      <w:r>
        <w:rPr>
          <w:rFonts w:ascii="Arial" w:eastAsia="Arial" w:hAnsi="Arial" w:cs="Arial"/>
          <w:sz w:val="20"/>
          <w:szCs w:val="20"/>
        </w:rPr>
        <w:t xml:space="preserve"> based on the recommendation of the </w:t>
      </w:r>
      <w:r w:rsidR="00C62551">
        <w:rPr>
          <w:rFonts w:ascii="Arial" w:eastAsia="Arial" w:hAnsi="Arial" w:cs="Arial"/>
          <w:sz w:val="20"/>
          <w:szCs w:val="20"/>
        </w:rPr>
        <w:t>Provider</w:t>
      </w:r>
      <w:r>
        <w:rPr>
          <w:rFonts w:ascii="Arial" w:eastAsia="Arial" w:hAnsi="Arial" w:cs="Arial"/>
          <w:sz w:val="20"/>
          <w:szCs w:val="20"/>
        </w:rPr>
        <w:t>.</w:t>
      </w:r>
      <w:r>
        <w:br w:type="page"/>
      </w:r>
    </w:p>
    <w:p w14:paraId="000001BB" w14:textId="77777777" w:rsidR="003F1A6D" w:rsidRDefault="003F1A6D"/>
    <w:p w14:paraId="000001BC" w14:textId="77777777" w:rsidR="003F1A6D" w:rsidRDefault="003F1A6D">
      <w:pPr>
        <w:spacing w:after="0" w:line="240" w:lineRule="auto"/>
        <w:rPr>
          <w:rFonts w:ascii="Arial" w:eastAsia="Arial" w:hAnsi="Arial" w:cs="Arial"/>
        </w:rPr>
      </w:pPr>
    </w:p>
    <w:p w14:paraId="000001BD" w14:textId="77777777" w:rsidR="003F1A6D" w:rsidRDefault="00DB5D40">
      <w:pPr>
        <w:pStyle w:val="P68B1DB1-Normln2"/>
        <w:spacing w:after="0" w:line="240" w:lineRule="auto"/>
        <w:jc w:val="center"/>
        <w:rPr>
          <w:bCs/>
        </w:rPr>
      </w:pPr>
      <w:r>
        <w:t>Annex 3</w:t>
      </w:r>
    </w:p>
    <w:p w14:paraId="000001BE" w14:textId="77777777" w:rsidR="003F1A6D" w:rsidRDefault="003F1A6D">
      <w:pPr>
        <w:spacing w:after="0" w:line="240" w:lineRule="auto"/>
        <w:jc w:val="center"/>
        <w:rPr>
          <w:rFonts w:ascii="Arial" w:eastAsia="Arial" w:hAnsi="Arial" w:cs="Arial"/>
          <w:b/>
          <w:bCs/>
        </w:rPr>
      </w:pPr>
    </w:p>
    <w:p w14:paraId="000001BF" w14:textId="0080F431" w:rsidR="003F1A6D" w:rsidRDefault="00DB5D40">
      <w:pPr>
        <w:pStyle w:val="P68B1DB1-Normln3"/>
        <w:spacing w:after="0" w:line="240" w:lineRule="auto"/>
        <w:jc w:val="both"/>
      </w:pPr>
      <w:r>
        <w:t xml:space="preserve">List of </w:t>
      </w:r>
      <w:r w:rsidR="000C12B1">
        <w:t xml:space="preserve">sub-providers </w:t>
      </w:r>
      <w:r>
        <w:t xml:space="preserve">(if applicable) – to be added from the Provider's </w:t>
      </w:r>
      <w:r w:rsidR="00C62551">
        <w:t>tender</w:t>
      </w:r>
    </w:p>
    <w:sectPr w:rsidR="003F1A6D">
      <w:footerReference w:type="default" r:id="rId8"/>
      <w:headerReference w:type="first" r:id="rId9"/>
      <w:footerReference w:type="first" r:id="rId10"/>
      <w:pgSz w:w="11906" w:h="16838"/>
      <w:pgMar w:top="1417" w:right="1417" w:bottom="1417" w:left="1701" w:header="708" w:footer="708"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9EECC3" w14:textId="77777777" w:rsidR="00562B14" w:rsidRDefault="00562B14">
      <w:pPr>
        <w:spacing w:after="0" w:line="240" w:lineRule="auto"/>
      </w:pPr>
      <w:r>
        <w:separator/>
      </w:r>
    </w:p>
  </w:endnote>
  <w:endnote w:type="continuationSeparator" w:id="0">
    <w:p w14:paraId="36E33726" w14:textId="77777777" w:rsidR="00562B14" w:rsidRDefault="00562B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embedRegular r:id="rId1" w:fontKey="{260A3230-A1A4-4B97-8B0B-544E7D0F1ED1}"/>
    <w:embedBold r:id="rId2" w:fontKey="{BBE644D5-3FD8-4E21-B896-DD83CA3339AF}"/>
  </w:font>
  <w:font w:name="Courier New">
    <w:panose1 w:val="02070309020205020404"/>
    <w:charset w:val="EE"/>
    <w:family w:val="modern"/>
    <w:pitch w:val="fixed"/>
    <w:sig w:usb0="E0002EFF" w:usb1="C0007843" w:usb2="00000009" w:usb3="00000000" w:csb0="000001FF" w:csb1="00000000"/>
  </w:font>
  <w:font w:name="Noto Sans Symbols">
    <w:altName w:val="Calibri"/>
    <w:charset w:val="00"/>
    <w:family w:val="auto"/>
    <w:pitch w:val="default"/>
    <w:embedRegular r:id="rId3" w:fontKey="{C34BBF1D-B92B-404D-8B2B-20117274D554}"/>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Bold r:id="rId4" w:fontKey="{DA18725A-6F7F-4B89-9DAF-0365753F029C}"/>
  </w:font>
  <w:font w:name="Tahoma">
    <w:panose1 w:val="020B0604030504040204"/>
    <w:charset w:val="EE"/>
    <w:family w:val="swiss"/>
    <w:pitch w:val="variable"/>
    <w:sig w:usb0="E1002EFF" w:usb1="C000605B" w:usb2="00000029" w:usb3="00000000" w:csb0="000101FF" w:csb1="00000000"/>
    <w:embedRegular r:id="rId5" w:fontKey="{6FB97074-F1E3-493C-AC03-AAAE8EE206A8}"/>
  </w:font>
  <w:font w:name="Arial Narrow">
    <w:panose1 w:val="020B0606020202030204"/>
    <w:charset w:val="EE"/>
    <w:family w:val="swiss"/>
    <w:pitch w:val="variable"/>
    <w:sig w:usb0="00000287" w:usb1="00000800" w:usb2="00000000" w:usb3="00000000" w:csb0="0000009F" w:csb1="00000000"/>
    <w:embedBold r:id="rId6" w:fontKey="{C94DDB39-38D4-4CC5-9316-B509919F5BBC}"/>
  </w:font>
  <w:font w:name="Georgia">
    <w:panose1 w:val="02040502050405020303"/>
    <w:charset w:val="EE"/>
    <w:family w:val="roman"/>
    <w:pitch w:val="variable"/>
    <w:sig w:usb0="00000287" w:usb1="00000000" w:usb2="00000000" w:usb3="00000000" w:csb0="0000009F" w:csb1="00000000"/>
    <w:embedItalic r:id="rId7" w:fontKey="{708755C1-C7AF-4ED5-8845-4062995D222B}"/>
  </w:font>
  <w:font w:name="Calibri Light">
    <w:panose1 w:val="020F0302020204030204"/>
    <w:charset w:val="EE"/>
    <w:family w:val="swiss"/>
    <w:pitch w:val="variable"/>
    <w:sig w:usb0="E4002EFF" w:usb1="C200247B" w:usb2="00000009" w:usb3="00000000" w:csb0="000001FF" w:csb1="00000000"/>
    <w:embedRegular r:id="rId8" w:fontKey="{E5E7D405-1930-4A7C-AF1B-C457DF127FC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C5" w14:textId="04A6F288" w:rsidR="003F1A6D" w:rsidRDefault="00DB5D40">
    <w:pPr>
      <w:pStyle w:val="P68B1DB1-Normln12"/>
      <w:pBdr>
        <w:top w:val="nil"/>
        <w:left w:val="nil"/>
        <w:bottom w:val="nil"/>
        <w:right w:val="nil"/>
        <w:between w:val="nil"/>
      </w:pBdr>
      <w:tabs>
        <w:tab w:val="center" w:pos="4536"/>
        <w:tab w:val="right" w:pos="9072"/>
      </w:tabs>
      <w:jc w:val="center"/>
    </w:pPr>
    <w:r>
      <w:t xml:space="preserve">Page </w:t>
    </w:r>
    <w:r>
      <w:fldChar w:fldCharType="begin"/>
    </w:r>
    <w:r>
      <w:rPr>
        <w:b/>
        <w:bCs/>
      </w:rPr>
      <w:instrText>PAGE</w:instrText>
    </w:r>
    <w:r>
      <w:rPr>
        <w:b/>
        <w:bCs/>
      </w:rPr>
      <w:fldChar w:fldCharType="separate"/>
    </w:r>
    <w:r>
      <w:rPr>
        <w:b/>
        <w:bCs/>
      </w:rPr>
      <w:t>2</w:t>
    </w:r>
    <w:r>
      <w:rPr>
        <w:b/>
        <w:bCs/>
      </w:rPr>
      <w:fldChar w:fldCharType="end"/>
    </w:r>
    <w:r>
      <w:t xml:space="preserve"> from </w:t>
    </w:r>
    <w:r>
      <w:fldChar w:fldCharType="begin"/>
    </w:r>
    <w:r>
      <w:rPr>
        <w:b/>
        <w:bCs/>
      </w:rPr>
      <w:instrText>NUMPAGES</w:instrText>
    </w:r>
    <w:r>
      <w:rPr>
        <w:b/>
        <w:bCs/>
      </w:rPr>
      <w:fldChar w:fldCharType="separate"/>
    </w:r>
    <w:r>
      <w:rPr>
        <w:b/>
        <w:bCs/>
      </w:rPr>
      <w:t>3</w:t>
    </w:r>
    <w:r>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C6" w14:textId="5778BC89" w:rsidR="003F1A6D" w:rsidRDefault="00DB5D40">
    <w:pPr>
      <w:pStyle w:val="P68B1DB1-Normln12"/>
      <w:pBdr>
        <w:top w:val="nil"/>
        <w:left w:val="nil"/>
        <w:bottom w:val="nil"/>
        <w:right w:val="nil"/>
        <w:between w:val="nil"/>
      </w:pBdr>
      <w:tabs>
        <w:tab w:val="center" w:pos="4536"/>
        <w:tab w:val="right" w:pos="9072"/>
      </w:tabs>
      <w:jc w:val="center"/>
    </w:pPr>
    <w:r>
      <w:t xml:space="preserve">Page </w:t>
    </w:r>
    <w:r>
      <w:fldChar w:fldCharType="begin"/>
    </w:r>
    <w:r>
      <w:rPr>
        <w:b/>
        <w:bCs/>
      </w:rPr>
      <w:instrText>PAGE</w:instrText>
    </w:r>
    <w:r>
      <w:rPr>
        <w:b/>
        <w:bCs/>
      </w:rPr>
      <w:fldChar w:fldCharType="separate"/>
    </w:r>
    <w:r>
      <w:rPr>
        <w:b/>
        <w:bCs/>
      </w:rPr>
      <w:t>1</w:t>
    </w:r>
    <w:r>
      <w:rPr>
        <w:b/>
        <w:bCs/>
      </w:rPr>
      <w:fldChar w:fldCharType="end"/>
    </w:r>
    <w:r>
      <w:t xml:space="preserve"> from </w:t>
    </w:r>
    <w:r>
      <w:fldChar w:fldCharType="begin"/>
    </w:r>
    <w:r>
      <w:rPr>
        <w:b/>
        <w:bCs/>
      </w:rPr>
      <w:instrText>NUMPAGES</w:instrText>
    </w:r>
    <w:r>
      <w:rPr>
        <w:b/>
        <w:bCs/>
      </w:rPr>
      <w:fldChar w:fldCharType="separate"/>
    </w:r>
    <w:r>
      <w:rPr>
        <w:b/>
        <w:bCs/>
      </w:rPr>
      <w:t>2</w:t>
    </w:r>
    <w:r>
      <w:rPr>
        <w:b/>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6CFF00" w14:textId="77777777" w:rsidR="00562B14" w:rsidRDefault="00562B14">
      <w:pPr>
        <w:spacing w:after="0" w:line="240" w:lineRule="auto"/>
      </w:pPr>
      <w:r>
        <w:separator/>
      </w:r>
    </w:p>
  </w:footnote>
  <w:footnote w:type="continuationSeparator" w:id="0">
    <w:p w14:paraId="4A29BBA7" w14:textId="77777777" w:rsidR="00562B14" w:rsidRDefault="00562B1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C0" w14:textId="77777777" w:rsidR="003F1A6D" w:rsidRDefault="00DB5D40">
    <w:pPr>
      <w:pStyle w:val="P68B1DB1-Normln13"/>
      <w:pBdr>
        <w:top w:val="nil"/>
        <w:left w:val="nil"/>
        <w:bottom w:val="nil"/>
        <w:right w:val="nil"/>
        <w:between w:val="nil"/>
      </w:pBdr>
      <w:tabs>
        <w:tab w:val="center" w:pos="4536"/>
        <w:tab w:val="right" w:pos="9072"/>
      </w:tabs>
      <w:spacing w:after="0"/>
    </w:pPr>
    <w:r>
      <w:t xml:space="preserve">Public contract </w:t>
    </w:r>
  </w:p>
  <w:p w14:paraId="000001C1" w14:textId="77777777" w:rsidR="003F1A6D" w:rsidRDefault="00DB5D40">
    <w:pPr>
      <w:pStyle w:val="P68B1DB1-Normln14"/>
      <w:pBdr>
        <w:top w:val="nil"/>
        <w:left w:val="nil"/>
        <w:bottom w:val="nil"/>
        <w:right w:val="nil"/>
        <w:between w:val="nil"/>
      </w:pBdr>
      <w:tabs>
        <w:tab w:val="center" w:pos="4536"/>
        <w:tab w:val="right" w:pos="9072"/>
      </w:tabs>
      <w:spacing w:after="0"/>
    </w:pPr>
    <w:r>
      <w:t xml:space="preserve">eHealth services of the Vysočina Region – accredited affinity domain </w:t>
    </w:r>
    <w:proofErr w:type="spellStart"/>
    <w:r>
      <w:t>eMeDocS</w:t>
    </w:r>
    <w:proofErr w:type="spellEnd"/>
    <w:r>
      <w:t xml:space="preserve"> II.</w:t>
    </w:r>
  </w:p>
  <w:p w14:paraId="000001C2" w14:textId="77777777" w:rsidR="003F1A6D" w:rsidRDefault="00DB5D40">
    <w:pPr>
      <w:pStyle w:val="P68B1DB1-Normln13"/>
      <w:pBdr>
        <w:top w:val="nil"/>
        <w:left w:val="nil"/>
        <w:bottom w:val="nil"/>
        <w:right w:val="nil"/>
        <w:between w:val="nil"/>
      </w:pBdr>
      <w:tabs>
        <w:tab w:val="center" w:pos="4536"/>
        <w:tab w:val="right" w:pos="9072"/>
      </w:tabs>
      <w:spacing w:after="0"/>
    </w:pPr>
    <w:r>
      <w:t>Tender documentation</w:t>
    </w:r>
  </w:p>
  <w:p w14:paraId="000001C3" w14:textId="5680EB37" w:rsidR="003F1A6D" w:rsidRDefault="00DB5D40">
    <w:pPr>
      <w:pStyle w:val="P68B1DB1-Normln13"/>
      <w:pBdr>
        <w:top w:val="nil"/>
        <w:left w:val="nil"/>
        <w:bottom w:val="nil"/>
        <w:right w:val="nil"/>
        <w:between w:val="nil"/>
      </w:pBdr>
      <w:tabs>
        <w:tab w:val="center" w:pos="4536"/>
        <w:tab w:val="right" w:pos="9072"/>
      </w:tabs>
      <w:spacing w:after="0"/>
    </w:pPr>
    <w:r>
      <w:t xml:space="preserve">Annex 4: Binding text of the service contract </w:t>
    </w:r>
  </w:p>
  <w:p w14:paraId="000001C4" w14:textId="77777777" w:rsidR="003F1A6D" w:rsidRDefault="003F1A6D">
    <w:pPr>
      <w:pBdr>
        <w:top w:val="nil"/>
        <w:left w:val="nil"/>
        <w:bottom w:val="nil"/>
        <w:right w:val="nil"/>
        <w:between w:val="nil"/>
      </w:pBdr>
      <w:tabs>
        <w:tab w:val="center" w:pos="4536"/>
        <w:tab w:val="right" w:pos="9072"/>
      </w:tabs>
      <w:spacing w:after="0"/>
      <w:rPr>
        <w:rFonts w:ascii="Arial" w:eastAsia="Arial" w:hAnsi="Arial" w:cs="Arial"/>
        <w:color w:val="A6A6A6"/>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EB7E93"/>
    <w:multiLevelType w:val="multilevel"/>
    <w:tmpl w:val="44AA802E"/>
    <w:lvl w:ilvl="0">
      <w:start w:val="6"/>
      <w:numFmt w:val="decimal"/>
      <w:lvlText w:val="%1"/>
      <w:lvlJc w:val="left"/>
      <w:pPr>
        <w:ind w:left="360" w:hanging="360"/>
      </w:pPr>
    </w:lvl>
    <w:lvl w:ilvl="1">
      <w:start w:val="1"/>
      <w:numFmt w:val="decimal"/>
      <w:lvlText w:val="%1.%2"/>
      <w:lvlJc w:val="left"/>
      <w:pPr>
        <w:ind w:left="360" w:hanging="360"/>
      </w:pPr>
    </w:lvl>
    <w:lvl w:ilvl="2">
      <w:start w:val="1"/>
      <w:numFmt w:val="lowerLetter"/>
      <w:lvlText w:val="%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 w15:restartNumberingAfterBreak="0">
    <w:nsid w:val="082D4CE5"/>
    <w:multiLevelType w:val="multilevel"/>
    <w:tmpl w:val="6FC2E78C"/>
    <w:lvl w:ilvl="0">
      <w:start w:val="7"/>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FC17F4E"/>
    <w:multiLevelType w:val="multilevel"/>
    <w:tmpl w:val="403E0118"/>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 w15:restartNumberingAfterBreak="0">
    <w:nsid w:val="214178C5"/>
    <w:multiLevelType w:val="multilevel"/>
    <w:tmpl w:val="E8968A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2A066543"/>
    <w:multiLevelType w:val="multilevel"/>
    <w:tmpl w:val="21AC455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2D0971A2"/>
    <w:multiLevelType w:val="multilevel"/>
    <w:tmpl w:val="322AF71E"/>
    <w:lvl w:ilvl="0">
      <w:start w:val="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 w15:restartNumberingAfterBreak="0">
    <w:nsid w:val="304F719A"/>
    <w:multiLevelType w:val="multilevel"/>
    <w:tmpl w:val="D216521E"/>
    <w:lvl w:ilvl="0">
      <w:start w:val="5"/>
      <w:numFmt w:val="decimal"/>
      <w:lvlText w:val="%1"/>
      <w:lvlJc w:val="left"/>
      <w:pPr>
        <w:ind w:left="360" w:hanging="360"/>
      </w:pPr>
      <w:rPr>
        <w:b/>
        <w:bCs/>
        <w:i/>
        <w:iCs/>
      </w:rPr>
    </w:lvl>
    <w:lvl w:ilvl="1">
      <w:start w:val="1"/>
      <w:numFmt w:val="bullet"/>
      <w:lvlText w:val="●"/>
      <w:lvlJc w:val="left"/>
      <w:pPr>
        <w:ind w:left="1080" w:hanging="360"/>
      </w:pPr>
      <w:rPr>
        <w:rFonts w:ascii="Noto Sans Symbols" w:eastAsia="Noto Sans Symbols" w:hAnsi="Noto Sans Symbols" w:cs="Noto Sans Symbols"/>
        <w:b w:val="0"/>
        <w:bCs w:val="0"/>
        <w:i w:val="0"/>
        <w:iCs w:val="0"/>
      </w:rPr>
    </w:lvl>
    <w:lvl w:ilvl="2">
      <w:start w:val="1"/>
      <w:numFmt w:val="decimal"/>
      <w:lvlText w:val="%1.●.%3"/>
      <w:lvlJc w:val="left"/>
      <w:pPr>
        <w:ind w:left="2160" w:hanging="720"/>
      </w:pPr>
      <w:rPr>
        <w:b w:val="0"/>
        <w:bCs w:val="0"/>
        <w:i w:val="0"/>
        <w:iCs w:val="0"/>
      </w:rPr>
    </w:lvl>
    <w:lvl w:ilvl="3">
      <w:start w:val="1"/>
      <w:numFmt w:val="decimal"/>
      <w:lvlText w:val="%1.●.%3.%4"/>
      <w:lvlJc w:val="left"/>
      <w:pPr>
        <w:ind w:left="2880" w:hanging="720"/>
      </w:pPr>
      <w:rPr>
        <w:b w:val="0"/>
        <w:bCs w:val="0"/>
        <w:i w:val="0"/>
        <w:iCs w:val="0"/>
      </w:rPr>
    </w:lvl>
    <w:lvl w:ilvl="4">
      <w:start w:val="1"/>
      <w:numFmt w:val="decimal"/>
      <w:lvlText w:val="%1.●.%3.%4.%5"/>
      <w:lvlJc w:val="left"/>
      <w:pPr>
        <w:ind w:left="3960" w:hanging="1080"/>
      </w:pPr>
      <w:rPr>
        <w:b w:val="0"/>
        <w:bCs w:val="0"/>
        <w:i w:val="0"/>
        <w:iCs w:val="0"/>
      </w:rPr>
    </w:lvl>
    <w:lvl w:ilvl="5">
      <w:start w:val="1"/>
      <w:numFmt w:val="decimal"/>
      <w:lvlText w:val="%1.●.%3.%4.%5.%6"/>
      <w:lvlJc w:val="left"/>
      <w:pPr>
        <w:ind w:left="4680" w:hanging="1080"/>
      </w:pPr>
      <w:rPr>
        <w:b w:val="0"/>
        <w:bCs w:val="0"/>
        <w:i w:val="0"/>
        <w:iCs w:val="0"/>
      </w:rPr>
    </w:lvl>
    <w:lvl w:ilvl="6">
      <w:start w:val="1"/>
      <w:numFmt w:val="decimal"/>
      <w:lvlText w:val="%1.●.%3.%4.%5.%6.%7"/>
      <w:lvlJc w:val="left"/>
      <w:pPr>
        <w:ind w:left="5760" w:hanging="1440"/>
      </w:pPr>
      <w:rPr>
        <w:b w:val="0"/>
        <w:bCs w:val="0"/>
        <w:i w:val="0"/>
        <w:iCs w:val="0"/>
      </w:rPr>
    </w:lvl>
    <w:lvl w:ilvl="7">
      <w:start w:val="1"/>
      <w:numFmt w:val="decimal"/>
      <w:lvlText w:val="%1.●.%3.%4.%5.%6.%7.%8"/>
      <w:lvlJc w:val="left"/>
      <w:pPr>
        <w:ind w:left="6480" w:hanging="1440"/>
      </w:pPr>
      <w:rPr>
        <w:b w:val="0"/>
        <w:bCs w:val="0"/>
        <w:i w:val="0"/>
        <w:iCs w:val="0"/>
      </w:rPr>
    </w:lvl>
    <w:lvl w:ilvl="8">
      <w:start w:val="1"/>
      <w:numFmt w:val="decimal"/>
      <w:lvlText w:val="%1.●.%3.%4.%5.%6.%7.%8.%9"/>
      <w:lvlJc w:val="left"/>
      <w:pPr>
        <w:ind w:left="7560" w:hanging="1800"/>
      </w:pPr>
      <w:rPr>
        <w:b w:val="0"/>
        <w:bCs w:val="0"/>
        <w:i w:val="0"/>
        <w:iCs w:val="0"/>
      </w:rPr>
    </w:lvl>
  </w:abstractNum>
  <w:abstractNum w:abstractNumId="7" w15:restartNumberingAfterBreak="0">
    <w:nsid w:val="3CDC0A8B"/>
    <w:multiLevelType w:val="multilevel"/>
    <w:tmpl w:val="59C2CE02"/>
    <w:lvl w:ilvl="0">
      <w:start w:val="1"/>
      <w:numFmt w:val="decimal"/>
      <w:lvlText w:val="%1."/>
      <w:lvlJc w:val="left"/>
      <w:pPr>
        <w:ind w:left="720" w:hanging="360"/>
      </w:pPr>
    </w:lvl>
    <w:lvl w:ilvl="1">
      <w:start w:val="1"/>
      <w:numFmt w:val="decimal"/>
      <w:lvlText w:val="%2."/>
      <w:lvlJc w:val="left"/>
      <w:pPr>
        <w:ind w:left="1440" w:hanging="360"/>
      </w:pPr>
    </w:lvl>
    <w:lvl w:ilvl="2">
      <w:start w:val="120"/>
      <w:numFmt w:val="bullet"/>
      <w:lvlText w:val="-"/>
      <w:lvlJc w:val="left"/>
      <w:pPr>
        <w:ind w:left="2160" w:hanging="360"/>
      </w:pPr>
      <w:rPr>
        <w:rFonts w:ascii="Arial" w:eastAsia="Arial" w:hAnsi="Arial" w:cs="Arial"/>
        <w:b w:val="0"/>
        <w:bCs w:val="0"/>
        <w:i w:val="0"/>
        <w:iCs w:val="0"/>
      </w:r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8" w15:restartNumberingAfterBreak="0">
    <w:nsid w:val="3E4A5DF5"/>
    <w:multiLevelType w:val="multilevel"/>
    <w:tmpl w:val="93D00EFA"/>
    <w:lvl w:ilvl="0">
      <w:start w:val="4"/>
      <w:numFmt w:val="decimal"/>
      <w:lvlText w:val="%1"/>
      <w:lvlJc w:val="left"/>
      <w:pPr>
        <w:ind w:left="360" w:hanging="360"/>
      </w:pPr>
      <w:rPr>
        <w:b w:val="0"/>
        <w:bCs w:val="0"/>
        <w:i w:val="0"/>
        <w:iCs w:val="0"/>
      </w:rPr>
    </w:lvl>
    <w:lvl w:ilvl="1">
      <w:start w:val="1"/>
      <w:numFmt w:val="decimal"/>
      <w:lvlText w:val="%1.%2"/>
      <w:lvlJc w:val="left"/>
      <w:pPr>
        <w:ind w:left="1080" w:hanging="360"/>
      </w:pPr>
      <w:rPr>
        <w:b w:val="0"/>
        <w:bCs w:val="0"/>
        <w:i w:val="0"/>
        <w:iCs w:val="0"/>
      </w:rPr>
    </w:lvl>
    <w:lvl w:ilvl="2">
      <w:start w:val="1"/>
      <w:numFmt w:val="lowerLetter"/>
      <w:lvlText w:val="%3)"/>
      <w:lvlJc w:val="left"/>
      <w:pPr>
        <w:ind w:left="2160" w:hanging="720"/>
      </w:pPr>
      <w:rPr>
        <w:b w:val="0"/>
        <w:bCs w:val="0"/>
        <w:i w:val="0"/>
        <w:iCs w:val="0"/>
      </w:rPr>
    </w:lvl>
    <w:lvl w:ilvl="3">
      <w:start w:val="1"/>
      <w:numFmt w:val="decimal"/>
      <w:lvlText w:val="%1.%2.%3.%4"/>
      <w:lvlJc w:val="left"/>
      <w:pPr>
        <w:ind w:left="2880" w:hanging="720"/>
      </w:pPr>
      <w:rPr>
        <w:b w:val="0"/>
        <w:bCs w:val="0"/>
        <w:i w:val="0"/>
        <w:iCs w:val="0"/>
      </w:rPr>
    </w:lvl>
    <w:lvl w:ilvl="4">
      <w:start w:val="1"/>
      <w:numFmt w:val="decimal"/>
      <w:lvlText w:val="%1.%2.%3.%4.%5"/>
      <w:lvlJc w:val="left"/>
      <w:pPr>
        <w:ind w:left="3960" w:hanging="1080"/>
      </w:pPr>
      <w:rPr>
        <w:b w:val="0"/>
        <w:bCs w:val="0"/>
        <w:i w:val="0"/>
        <w:iCs w:val="0"/>
      </w:rPr>
    </w:lvl>
    <w:lvl w:ilvl="5">
      <w:start w:val="1"/>
      <w:numFmt w:val="decimal"/>
      <w:lvlText w:val="%1.%2.%3.%4.%5.%6"/>
      <w:lvlJc w:val="left"/>
      <w:pPr>
        <w:ind w:left="4680" w:hanging="1080"/>
      </w:pPr>
      <w:rPr>
        <w:b w:val="0"/>
        <w:bCs w:val="0"/>
        <w:i w:val="0"/>
        <w:iCs w:val="0"/>
      </w:rPr>
    </w:lvl>
    <w:lvl w:ilvl="6">
      <w:start w:val="1"/>
      <w:numFmt w:val="decimal"/>
      <w:lvlText w:val="%1.%2.%3.%4.%5.%6.%7"/>
      <w:lvlJc w:val="left"/>
      <w:pPr>
        <w:ind w:left="5760" w:hanging="1440"/>
      </w:pPr>
      <w:rPr>
        <w:b w:val="0"/>
        <w:bCs w:val="0"/>
        <w:i w:val="0"/>
        <w:iCs w:val="0"/>
      </w:rPr>
    </w:lvl>
    <w:lvl w:ilvl="7">
      <w:start w:val="1"/>
      <w:numFmt w:val="decimal"/>
      <w:lvlText w:val="%1.%2.%3.%4.%5.%6.%7.%8"/>
      <w:lvlJc w:val="left"/>
      <w:pPr>
        <w:ind w:left="6480" w:hanging="1440"/>
      </w:pPr>
      <w:rPr>
        <w:b w:val="0"/>
        <w:bCs w:val="0"/>
        <w:i w:val="0"/>
        <w:iCs w:val="0"/>
      </w:rPr>
    </w:lvl>
    <w:lvl w:ilvl="8">
      <w:start w:val="1"/>
      <w:numFmt w:val="decimal"/>
      <w:lvlText w:val="%1.%2.%3.%4.%5.%6.%7.%8.%9"/>
      <w:lvlJc w:val="left"/>
      <w:pPr>
        <w:ind w:left="7560" w:hanging="1800"/>
      </w:pPr>
      <w:rPr>
        <w:b w:val="0"/>
        <w:bCs w:val="0"/>
        <w:i w:val="0"/>
        <w:iCs w:val="0"/>
      </w:rPr>
    </w:lvl>
  </w:abstractNum>
  <w:abstractNum w:abstractNumId="9" w15:restartNumberingAfterBreak="0">
    <w:nsid w:val="43AB2F53"/>
    <w:multiLevelType w:val="multilevel"/>
    <w:tmpl w:val="876A4F86"/>
    <w:lvl w:ilvl="0">
      <w:start w:val="4"/>
      <w:numFmt w:val="decimal"/>
      <w:lvlText w:val="%1"/>
      <w:lvlJc w:val="left"/>
      <w:pPr>
        <w:ind w:left="360" w:hanging="360"/>
      </w:pPr>
      <w:rPr>
        <w:b w:val="0"/>
        <w:bCs w:val="0"/>
        <w:i w:val="0"/>
        <w:iCs w:val="0"/>
      </w:rPr>
    </w:lvl>
    <w:lvl w:ilvl="1">
      <w:start w:val="1"/>
      <w:numFmt w:val="decimal"/>
      <w:lvlText w:val="4.%2"/>
      <w:lvlJc w:val="left"/>
      <w:pPr>
        <w:ind w:left="1080" w:hanging="360"/>
      </w:pPr>
      <w:rPr>
        <w:b w:val="0"/>
        <w:bCs w:val="0"/>
        <w:i w:val="0"/>
        <w:iCs w:val="0"/>
      </w:rPr>
    </w:lvl>
    <w:lvl w:ilvl="2">
      <w:start w:val="1"/>
      <w:numFmt w:val="decimal"/>
      <w:lvlText w:val="%1.%2.%3"/>
      <w:lvlJc w:val="left"/>
      <w:pPr>
        <w:ind w:left="2160" w:hanging="720"/>
      </w:pPr>
      <w:rPr>
        <w:b w:val="0"/>
        <w:bCs w:val="0"/>
        <w:i w:val="0"/>
        <w:iCs w:val="0"/>
      </w:rPr>
    </w:lvl>
    <w:lvl w:ilvl="3">
      <w:start w:val="1"/>
      <w:numFmt w:val="decimal"/>
      <w:lvlText w:val="%1.%2.%3.%4"/>
      <w:lvlJc w:val="left"/>
      <w:pPr>
        <w:ind w:left="2880" w:hanging="720"/>
      </w:pPr>
      <w:rPr>
        <w:b w:val="0"/>
        <w:bCs w:val="0"/>
        <w:i w:val="0"/>
        <w:iCs w:val="0"/>
      </w:rPr>
    </w:lvl>
    <w:lvl w:ilvl="4">
      <w:start w:val="1"/>
      <w:numFmt w:val="decimal"/>
      <w:lvlText w:val="%1.%2.%3.%4.%5"/>
      <w:lvlJc w:val="left"/>
      <w:pPr>
        <w:ind w:left="3960" w:hanging="1080"/>
      </w:pPr>
      <w:rPr>
        <w:b w:val="0"/>
        <w:bCs w:val="0"/>
        <w:i w:val="0"/>
        <w:iCs w:val="0"/>
      </w:rPr>
    </w:lvl>
    <w:lvl w:ilvl="5">
      <w:start w:val="1"/>
      <w:numFmt w:val="decimal"/>
      <w:lvlText w:val="%1.%2.%3.%4.%5.%6"/>
      <w:lvlJc w:val="left"/>
      <w:pPr>
        <w:ind w:left="4680" w:hanging="1080"/>
      </w:pPr>
      <w:rPr>
        <w:b w:val="0"/>
        <w:bCs w:val="0"/>
        <w:i w:val="0"/>
        <w:iCs w:val="0"/>
      </w:rPr>
    </w:lvl>
    <w:lvl w:ilvl="6">
      <w:start w:val="1"/>
      <w:numFmt w:val="decimal"/>
      <w:lvlText w:val="%1.%2.%3.%4.%5.%6.%7"/>
      <w:lvlJc w:val="left"/>
      <w:pPr>
        <w:ind w:left="5760" w:hanging="1440"/>
      </w:pPr>
      <w:rPr>
        <w:b w:val="0"/>
        <w:bCs w:val="0"/>
        <w:i w:val="0"/>
        <w:iCs w:val="0"/>
      </w:rPr>
    </w:lvl>
    <w:lvl w:ilvl="7">
      <w:start w:val="1"/>
      <w:numFmt w:val="decimal"/>
      <w:lvlText w:val="%1.%2.%3.%4.%5.%6.%7.%8"/>
      <w:lvlJc w:val="left"/>
      <w:pPr>
        <w:ind w:left="6480" w:hanging="1440"/>
      </w:pPr>
      <w:rPr>
        <w:b w:val="0"/>
        <w:bCs w:val="0"/>
        <w:i w:val="0"/>
        <w:iCs w:val="0"/>
      </w:rPr>
    </w:lvl>
    <w:lvl w:ilvl="8">
      <w:start w:val="1"/>
      <w:numFmt w:val="decimal"/>
      <w:lvlText w:val="%1.%2.%3.%4.%5.%6.%7.%8.%9"/>
      <w:lvlJc w:val="left"/>
      <w:pPr>
        <w:ind w:left="7560" w:hanging="1800"/>
      </w:pPr>
      <w:rPr>
        <w:b w:val="0"/>
        <w:bCs w:val="0"/>
        <w:i w:val="0"/>
        <w:iCs w:val="0"/>
      </w:rPr>
    </w:lvl>
  </w:abstractNum>
  <w:abstractNum w:abstractNumId="10" w15:restartNumberingAfterBreak="0">
    <w:nsid w:val="44B50686"/>
    <w:multiLevelType w:val="multilevel"/>
    <w:tmpl w:val="F6D0222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462E25C9"/>
    <w:multiLevelType w:val="multilevel"/>
    <w:tmpl w:val="6D082838"/>
    <w:lvl w:ilvl="0">
      <w:start w:val="7"/>
      <w:numFmt w:val="decimal"/>
      <w:lvlText w:val="%1"/>
      <w:lvlJc w:val="left"/>
      <w:pPr>
        <w:ind w:left="360" w:hanging="360"/>
      </w:pPr>
    </w:lvl>
    <w:lvl w:ilvl="1">
      <w:start w:val="1"/>
      <w:numFmt w:val="decimal"/>
      <w:lvlText w:val="7.%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2" w15:restartNumberingAfterBreak="0">
    <w:nsid w:val="4EAD0228"/>
    <w:multiLevelType w:val="multilevel"/>
    <w:tmpl w:val="C12A051C"/>
    <w:lvl w:ilvl="0">
      <w:start w:val="8"/>
      <w:numFmt w:val="decimal"/>
      <w:lvlText w:val="%1"/>
      <w:lvlJc w:val="left"/>
      <w:pPr>
        <w:ind w:left="360" w:hanging="360"/>
      </w:pPr>
    </w:lvl>
    <w:lvl w:ilvl="1">
      <w:start w:val="1"/>
      <w:numFmt w:val="decimal"/>
      <w:lvlText w:val="8.%2"/>
      <w:lvlJc w:val="left"/>
      <w:pPr>
        <w:ind w:left="1080" w:hanging="36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600" w:hanging="720"/>
      </w:pPr>
    </w:lvl>
    <w:lvl w:ilvl="5">
      <w:start w:val="1"/>
      <w:numFmt w:val="decimal"/>
      <w:lvlText w:val="%1.%2.%3.%4.%5.%6"/>
      <w:lvlJc w:val="left"/>
      <w:pPr>
        <w:ind w:left="4680" w:hanging="1080"/>
      </w:pPr>
    </w:lvl>
    <w:lvl w:ilvl="6">
      <w:start w:val="1"/>
      <w:numFmt w:val="decimal"/>
      <w:lvlText w:val="%1.%2.%3.%4.%5.%6.%7"/>
      <w:lvlJc w:val="left"/>
      <w:pPr>
        <w:ind w:left="5400" w:hanging="1080"/>
      </w:pPr>
    </w:lvl>
    <w:lvl w:ilvl="7">
      <w:start w:val="1"/>
      <w:numFmt w:val="decimal"/>
      <w:lvlText w:val="%1.%2.%3.%4.%5.%6.%7.%8"/>
      <w:lvlJc w:val="left"/>
      <w:pPr>
        <w:ind w:left="6480" w:hanging="1440"/>
      </w:pPr>
    </w:lvl>
    <w:lvl w:ilvl="8">
      <w:start w:val="1"/>
      <w:numFmt w:val="decimal"/>
      <w:lvlText w:val="%1.%2.%3.%4.%5.%6.%7.%8.%9"/>
      <w:lvlJc w:val="left"/>
      <w:pPr>
        <w:ind w:left="7200" w:hanging="1440"/>
      </w:pPr>
    </w:lvl>
  </w:abstractNum>
  <w:abstractNum w:abstractNumId="13" w15:restartNumberingAfterBreak="0">
    <w:nsid w:val="599331E6"/>
    <w:multiLevelType w:val="multilevel"/>
    <w:tmpl w:val="EE5265FA"/>
    <w:lvl w:ilvl="0">
      <w:start w:val="1"/>
      <w:numFmt w:val="upperLetter"/>
      <w:lvlText w:val="(%1)"/>
      <w:lvlJc w:val="left"/>
      <w:pPr>
        <w:ind w:left="332" w:hanging="360"/>
      </w:pPr>
    </w:lvl>
    <w:lvl w:ilvl="1">
      <w:start w:val="1"/>
      <w:numFmt w:val="lowerLetter"/>
      <w:lvlText w:val="%2."/>
      <w:lvlJc w:val="left"/>
      <w:pPr>
        <w:ind w:left="1052" w:hanging="360"/>
      </w:pPr>
    </w:lvl>
    <w:lvl w:ilvl="2">
      <w:start w:val="1"/>
      <w:numFmt w:val="lowerRoman"/>
      <w:lvlText w:val="%3."/>
      <w:lvlJc w:val="right"/>
      <w:pPr>
        <w:ind w:left="1772" w:hanging="180"/>
      </w:pPr>
    </w:lvl>
    <w:lvl w:ilvl="3">
      <w:start w:val="1"/>
      <w:numFmt w:val="decimal"/>
      <w:lvlText w:val="%4."/>
      <w:lvlJc w:val="left"/>
      <w:pPr>
        <w:ind w:left="2492" w:hanging="360"/>
      </w:pPr>
    </w:lvl>
    <w:lvl w:ilvl="4">
      <w:start w:val="1"/>
      <w:numFmt w:val="lowerLetter"/>
      <w:lvlText w:val="%5."/>
      <w:lvlJc w:val="left"/>
      <w:pPr>
        <w:ind w:left="3212" w:hanging="360"/>
      </w:pPr>
    </w:lvl>
    <w:lvl w:ilvl="5">
      <w:start w:val="1"/>
      <w:numFmt w:val="lowerRoman"/>
      <w:lvlText w:val="%6."/>
      <w:lvlJc w:val="right"/>
      <w:pPr>
        <w:ind w:left="3932" w:hanging="180"/>
      </w:pPr>
    </w:lvl>
    <w:lvl w:ilvl="6">
      <w:start w:val="1"/>
      <w:numFmt w:val="decimal"/>
      <w:lvlText w:val="%7."/>
      <w:lvlJc w:val="left"/>
      <w:pPr>
        <w:ind w:left="4652" w:hanging="360"/>
      </w:pPr>
    </w:lvl>
    <w:lvl w:ilvl="7">
      <w:start w:val="1"/>
      <w:numFmt w:val="lowerLetter"/>
      <w:lvlText w:val="%8."/>
      <w:lvlJc w:val="left"/>
      <w:pPr>
        <w:ind w:left="5372" w:hanging="360"/>
      </w:pPr>
    </w:lvl>
    <w:lvl w:ilvl="8">
      <w:start w:val="1"/>
      <w:numFmt w:val="lowerRoman"/>
      <w:lvlText w:val="%9."/>
      <w:lvlJc w:val="right"/>
      <w:pPr>
        <w:ind w:left="6092" w:hanging="180"/>
      </w:pPr>
    </w:lvl>
  </w:abstractNum>
  <w:abstractNum w:abstractNumId="14" w15:restartNumberingAfterBreak="0">
    <w:nsid w:val="5EE2578D"/>
    <w:multiLevelType w:val="multilevel"/>
    <w:tmpl w:val="153C056A"/>
    <w:lvl w:ilvl="0">
      <w:start w:val="5"/>
      <w:numFmt w:val="decimal"/>
      <w:lvlText w:val="%1"/>
      <w:lvlJc w:val="left"/>
      <w:pPr>
        <w:ind w:left="360" w:hanging="360"/>
      </w:pPr>
      <w:rPr>
        <w:b/>
        <w:bCs/>
        <w:i/>
        <w:iCs/>
      </w:rPr>
    </w:lvl>
    <w:lvl w:ilvl="1">
      <w:start w:val="1"/>
      <w:numFmt w:val="decimal"/>
      <w:lvlText w:val="%1.%2"/>
      <w:lvlJc w:val="left"/>
      <w:pPr>
        <w:ind w:left="1080" w:hanging="360"/>
      </w:pPr>
      <w:rPr>
        <w:b w:val="0"/>
        <w:bCs w:val="0"/>
        <w:i w:val="0"/>
        <w:iCs w:val="0"/>
      </w:rPr>
    </w:lvl>
    <w:lvl w:ilvl="2">
      <w:start w:val="1"/>
      <w:numFmt w:val="lowerLetter"/>
      <w:lvlText w:val="%3)"/>
      <w:lvlJc w:val="left"/>
      <w:pPr>
        <w:ind w:left="2160" w:hanging="720"/>
      </w:pPr>
      <w:rPr>
        <w:b w:val="0"/>
        <w:bCs w:val="0"/>
        <w:i w:val="0"/>
        <w:iCs w:val="0"/>
      </w:rPr>
    </w:lvl>
    <w:lvl w:ilvl="3">
      <w:start w:val="1"/>
      <w:numFmt w:val="bullet"/>
      <w:lvlText w:val="●"/>
      <w:lvlJc w:val="left"/>
      <w:pPr>
        <w:ind w:left="2880" w:hanging="720"/>
      </w:pPr>
      <w:rPr>
        <w:rFonts w:ascii="Noto Sans Symbols" w:eastAsia="Noto Sans Symbols" w:hAnsi="Noto Sans Symbols" w:cs="Noto Sans Symbols"/>
        <w:b w:val="0"/>
        <w:bCs w:val="0"/>
        <w:i w:val="0"/>
        <w:iCs w:val="0"/>
      </w:rPr>
    </w:lvl>
    <w:lvl w:ilvl="4">
      <w:start w:val="1"/>
      <w:numFmt w:val="decimal"/>
      <w:lvlText w:val="%1.%2.%3.●.%5"/>
      <w:lvlJc w:val="left"/>
      <w:pPr>
        <w:ind w:left="3960" w:hanging="1080"/>
      </w:pPr>
      <w:rPr>
        <w:b w:val="0"/>
        <w:bCs w:val="0"/>
        <w:i w:val="0"/>
        <w:iCs w:val="0"/>
      </w:rPr>
    </w:lvl>
    <w:lvl w:ilvl="5">
      <w:start w:val="1"/>
      <w:numFmt w:val="decimal"/>
      <w:lvlText w:val="%1.%2.%3.●.%5.%6"/>
      <w:lvlJc w:val="left"/>
      <w:pPr>
        <w:ind w:left="4680" w:hanging="1080"/>
      </w:pPr>
      <w:rPr>
        <w:b w:val="0"/>
        <w:bCs w:val="0"/>
        <w:i w:val="0"/>
        <w:iCs w:val="0"/>
      </w:rPr>
    </w:lvl>
    <w:lvl w:ilvl="6">
      <w:start w:val="1"/>
      <w:numFmt w:val="decimal"/>
      <w:lvlText w:val="%1.%2.%3.●.%5.%6.%7"/>
      <w:lvlJc w:val="left"/>
      <w:pPr>
        <w:ind w:left="5760" w:hanging="1440"/>
      </w:pPr>
      <w:rPr>
        <w:b w:val="0"/>
        <w:bCs w:val="0"/>
        <w:i w:val="0"/>
        <w:iCs w:val="0"/>
      </w:rPr>
    </w:lvl>
    <w:lvl w:ilvl="7">
      <w:start w:val="1"/>
      <w:numFmt w:val="decimal"/>
      <w:lvlText w:val="%1.%2.%3.●.%5.%6.%7.%8"/>
      <w:lvlJc w:val="left"/>
      <w:pPr>
        <w:ind w:left="6480" w:hanging="1440"/>
      </w:pPr>
      <w:rPr>
        <w:b w:val="0"/>
        <w:bCs w:val="0"/>
        <w:i w:val="0"/>
        <w:iCs w:val="0"/>
      </w:rPr>
    </w:lvl>
    <w:lvl w:ilvl="8">
      <w:start w:val="1"/>
      <w:numFmt w:val="decimal"/>
      <w:lvlText w:val="%1.%2.%3.●.%5.%6.%7.%8.%9"/>
      <w:lvlJc w:val="left"/>
      <w:pPr>
        <w:ind w:left="7560" w:hanging="1800"/>
      </w:pPr>
      <w:rPr>
        <w:b w:val="0"/>
        <w:bCs w:val="0"/>
        <w:i w:val="0"/>
        <w:iCs w:val="0"/>
      </w:rPr>
    </w:lvl>
  </w:abstractNum>
  <w:abstractNum w:abstractNumId="15" w15:restartNumberingAfterBreak="0">
    <w:nsid w:val="637A0A1B"/>
    <w:multiLevelType w:val="multilevel"/>
    <w:tmpl w:val="C040E5D2"/>
    <w:lvl w:ilvl="0">
      <w:start w:val="5"/>
      <w:numFmt w:val="decimal"/>
      <w:lvlText w:val="%1"/>
      <w:lvlJc w:val="left"/>
      <w:pPr>
        <w:ind w:left="360" w:hanging="360"/>
      </w:pPr>
      <w:rPr>
        <w:b/>
        <w:bCs/>
        <w:i/>
        <w:iCs/>
      </w:rPr>
    </w:lvl>
    <w:lvl w:ilvl="1">
      <w:start w:val="1"/>
      <w:numFmt w:val="decimal"/>
      <w:lvlText w:val="5.%2"/>
      <w:lvlJc w:val="left"/>
      <w:pPr>
        <w:ind w:left="1080" w:hanging="360"/>
      </w:pPr>
      <w:rPr>
        <w:b w:val="0"/>
        <w:bCs w:val="0"/>
        <w:i w:val="0"/>
        <w:iCs w:val="0"/>
      </w:rPr>
    </w:lvl>
    <w:lvl w:ilvl="2">
      <w:start w:val="1"/>
      <w:numFmt w:val="decimal"/>
      <w:lvlText w:val="%1.%2.%3"/>
      <w:lvlJc w:val="left"/>
      <w:pPr>
        <w:ind w:left="2160" w:hanging="720"/>
      </w:pPr>
      <w:rPr>
        <w:b w:val="0"/>
        <w:bCs w:val="0"/>
        <w:i w:val="0"/>
        <w:iCs w:val="0"/>
      </w:rPr>
    </w:lvl>
    <w:lvl w:ilvl="3">
      <w:start w:val="1"/>
      <w:numFmt w:val="decimal"/>
      <w:lvlText w:val="%1.%2.%3.%4"/>
      <w:lvlJc w:val="left"/>
      <w:pPr>
        <w:ind w:left="2880" w:hanging="720"/>
      </w:pPr>
      <w:rPr>
        <w:b w:val="0"/>
        <w:bCs w:val="0"/>
        <w:i w:val="0"/>
        <w:iCs w:val="0"/>
      </w:rPr>
    </w:lvl>
    <w:lvl w:ilvl="4">
      <w:start w:val="1"/>
      <w:numFmt w:val="decimal"/>
      <w:lvlText w:val="%1.%2.%3.%4.%5"/>
      <w:lvlJc w:val="left"/>
      <w:pPr>
        <w:ind w:left="3960" w:hanging="1080"/>
      </w:pPr>
      <w:rPr>
        <w:b w:val="0"/>
        <w:bCs w:val="0"/>
        <w:i w:val="0"/>
        <w:iCs w:val="0"/>
      </w:rPr>
    </w:lvl>
    <w:lvl w:ilvl="5">
      <w:start w:val="1"/>
      <w:numFmt w:val="decimal"/>
      <w:lvlText w:val="%1.%2.%3.%4.%5.%6"/>
      <w:lvlJc w:val="left"/>
      <w:pPr>
        <w:ind w:left="4680" w:hanging="1080"/>
      </w:pPr>
      <w:rPr>
        <w:b w:val="0"/>
        <w:bCs w:val="0"/>
        <w:i w:val="0"/>
        <w:iCs w:val="0"/>
      </w:rPr>
    </w:lvl>
    <w:lvl w:ilvl="6">
      <w:start w:val="1"/>
      <w:numFmt w:val="decimal"/>
      <w:lvlText w:val="%1.%2.%3.%4.%5.%6.%7"/>
      <w:lvlJc w:val="left"/>
      <w:pPr>
        <w:ind w:left="5760" w:hanging="1440"/>
      </w:pPr>
      <w:rPr>
        <w:b w:val="0"/>
        <w:bCs w:val="0"/>
        <w:i w:val="0"/>
        <w:iCs w:val="0"/>
      </w:rPr>
    </w:lvl>
    <w:lvl w:ilvl="7">
      <w:start w:val="1"/>
      <w:numFmt w:val="decimal"/>
      <w:lvlText w:val="%1.%2.%3.%4.%5.%6.%7.%8"/>
      <w:lvlJc w:val="left"/>
      <w:pPr>
        <w:ind w:left="6480" w:hanging="1440"/>
      </w:pPr>
      <w:rPr>
        <w:b w:val="0"/>
        <w:bCs w:val="0"/>
        <w:i w:val="0"/>
        <w:iCs w:val="0"/>
      </w:rPr>
    </w:lvl>
    <w:lvl w:ilvl="8">
      <w:start w:val="1"/>
      <w:numFmt w:val="decimal"/>
      <w:lvlText w:val="%1.%2.%3.%4.%5.%6.%7.%8.%9"/>
      <w:lvlJc w:val="left"/>
      <w:pPr>
        <w:ind w:left="7560" w:hanging="1800"/>
      </w:pPr>
      <w:rPr>
        <w:b w:val="0"/>
        <w:bCs w:val="0"/>
        <w:i w:val="0"/>
        <w:iCs w:val="0"/>
      </w:rPr>
    </w:lvl>
  </w:abstractNum>
  <w:abstractNum w:abstractNumId="16" w15:restartNumberingAfterBreak="0">
    <w:nsid w:val="6B197524"/>
    <w:multiLevelType w:val="multilevel"/>
    <w:tmpl w:val="8892B6DC"/>
    <w:lvl w:ilvl="0">
      <w:start w:val="7"/>
      <w:numFmt w:val="decimal"/>
      <w:lvlText w:val="%1"/>
      <w:lvlJc w:val="left"/>
      <w:pPr>
        <w:ind w:left="360" w:hanging="360"/>
      </w:pPr>
    </w:lvl>
    <w:lvl w:ilvl="1">
      <w:start w:val="1"/>
      <w:numFmt w:val="decimal"/>
      <w:lvlText w:val="%1.%2"/>
      <w:lvlJc w:val="left"/>
      <w:pPr>
        <w:ind w:left="360" w:hanging="360"/>
      </w:pPr>
    </w:lvl>
    <w:lvl w:ilvl="2">
      <w:start w:val="1"/>
      <w:numFmt w:val="lowerLetter"/>
      <w:lvlText w:val="%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17" w15:restartNumberingAfterBreak="0">
    <w:nsid w:val="6EB20185"/>
    <w:multiLevelType w:val="multilevel"/>
    <w:tmpl w:val="CF8CE82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6ECF51AD"/>
    <w:multiLevelType w:val="multilevel"/>
    <w:tmpl w:val="38FCA914"/>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9" w15:restartNumberingAfterBreak="0">
    <w:nsid w:val="72225E61"/>
    <w:multiLevelType w:val="multilevel"/>
    <w:tmpl w:val="F4B8C2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72557AB8"/>
    <w:multiLevelType w:val="multilevel"/>
    <w:tmpl w:val="8DD2191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7960332D"/>
    <w:multiLevelType w:val="multilevel"/>
    <w:tmpl w:val="29C26D54"/>
    <w:lvl w:ilvl="0">
      <w:start w:val="3"/>
      <w:numFmt w:val="decimal"/>
      <w:lvlText w:val="%1"/>
      <w:lvlJc w:val="left"/>
      <w:pPr>
        <w:ind w:left="360" w:hanging="360"/>
      </w:pPr>
      <w:rPr>
        <w:b w:val="0"/>
        <w:bCs w:val="0"/>
        <w:i w:val="0"/>
        <w:iCs w:val="0"/>
      </w:rPr>
    </w:lvl>
    <w:lvl w:ilvl="1">
      <w:start w:val="1"/>
      <w:numFmt w:val="decimal"/>
      <w:lvlText w:val="%1.%2"/>
      <w:lvlJc w:val="left"/>
      <w:pPr>
        <w:ind w:left="360" w:hanging="360"/>
      </w:pPr>
      <w:rPr>
        <w:b w:val="0"/>
        <w:bCs w:val="0"/>
        <w:i w:val="0"/>
        <w:iCs w:val="0"/>
      </w:rPr>
    </w:lvl>
    <w:lvl w:ilvl="2">
      <w:start w:val="1"/>
      <w:numFmt w:val="decimal"/>
      <w:lvlText w:val="3.3."/>
      <w:lvlJc w:val="left"/>
      <w:pPr>
        <w:ind w:left="720" w:hanging="720"/>
      </w:pPr>
      <w:rPr>
        <w:b w:val="0"/>
        <w:bCs w:val="0"/>
        <w:i w:val="0"/>
        <w:iCs w:val="0"/>
      </w:rPr>
    </w:lvl>
    <w:lvl w:ilvl="3">
      <w:start w:val="1"/>
      <w:numFmt w:val="decimal"/>
      <w:lvlText w:val="%1.%2.%3.%4"/>
      <w:lvlJc w:val="left"/>
      <w:pPr>
        <w:ind w:left="720" w:hanging="720"/>
      </w:pPr>
      <w:rPr>
        <w:b w:val="0"/>
        <w:bCs w:val="0"/>
        <w:i w:val="0"/>
        <w:iCs w:val="0"/>
      </w:rPr>
    </w:lvl>
    <w:lvl w:ilvl="4">
      <w:start w:val="1"/>
      <w:numFmt w:val="decimal"/>
      <w:lvlText w:val="%1.%2.%3.%4.%5"/>
      <w:lvlJc w:val="left"/>
      <w:pPr>
        <w:ind w:left="1080" w:hanging="1080"/>
      </w:pPr>
      <w:rPr>
        <w:b w:val="0"/>
        <w:bCs w:val="0"/>
        <w:i w:val="0"/>
        <w:iCs w:val="0"/>
      </w:rPr>
    </w:lvl>
    <w:lvl w:ilvl="5">
      <w:start w:val="1"/>
      <w:numFmt w:val="decimal"/>
      <w:lvlText w:val="%1.%2.%3.%4.%5.%6"/>
      <w:lvlJc w:val="left"/>
      <w:pPr>
        <w:ind w:left="1080" w:hanging="1080"/>
      </w:pPr>
      <w:rPr>
        <w:b w:val="0"/>
        <w:bCs w:val="0"/>
        <w:i w:val="0"/>
        <w:iCs w:val="0"/>
      </w:rPr>
    </w:lvl>
    <w:lvl w:ilvl="6">
      <w:start w:val="1"/>
      <w:numFmt w:val="decimal"/>
      <w:lvlText w:val="%1.%2.%3.%4.%5.%6.%7"/>
      <w:lvlJc w:val="left"/>
      <w:pPr>
        <w:ind w:left="1440" w:hanging="1440"/>
      </w:pPr>
      <w:rPr>
        <w:b w:val="0"/>
        <w:bCs w:val="0"/>
        <w:i w:val="0"/>
        <w:iCs w:val="0"/>
      </w:rPr>
    </w:lvl>
    <w:lvl w:ilvl="7">
      <w:start w:val="1"/>
      <w:numFmt w:val="decimal"/>
      <w:lvlText w:val="%1.%2.%3.%4.%5.%6.%7.%8"/>
      <w:lvlJc w:val="left"/>
      <w:pPr>
        <w:ind w:left="1440" w:hanging="1440"/>
      </w:pPr>
      <w:rPr>
        <w:b w:val="0"/>
        <w:bCs w:val="0"/>
        <w:i w:val="0"/>
        <w:iCs w:val="0"/>
      </w:rPr>
    </w:lvl>
    <w:lvl w:ilvl="8">
      <w:start w:val="1"/>
      <w:numFmt w:val="decimal"/>
      <w:lvlText w:val="%1.%2.%3.%4.%5.%6.%7.%8.%9"/>
      <w:lvlJc w:val="left"/>
      <w:pPr>
        <w:ind w:left="1800" w:hanging="1800"/>
      </w:pPr>
      <w:rPr>
        <w:b w:val="0"/>
        <w:bCs w:val="0"/>
        <w:i w:val="0"/>
        <w:iCs w:val="0"/>
      </w:rPr>
    </w:lvl>
  </w:abstractNum>
  <w:abstractNum w:abstractNumId="22" w15:restartNumberingAfterBreak="0">
    <w:nsid w:val="7B9C6E8E"/>
    <w:multiLevelType w:val="multilevel"/>
    <w:tmpl w:val="29E6CB7E"/>
    <w:lvl w:ilvl="0">
      <w:start w:val="6"/>
      <w:numFmt w:val="decimal"/>
      <w:lvlText w:val="%1"/>
      <w:lvlJc w:val="left"/>
      <w:pPr>
        <w:ind w:left="360" w:hanging="360"/>
      </w:pPr>
    </w:lvl>
    <w:lvl w:ilvl="1">
      <w:start w:val="1"/>
      <w:numFmt w:val="decimal"/>
      <w:lvlText w:val="6.%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23" w15:restartNumberingAfterBreak="0">
    <w:nsid w:val="7FA061B4"/>
    <w:multiLevelType w:val="multilevel"/>
    <w:tmpl w:val="FC20F166"/>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num w:numId="1" w16cid:durableId="951522229">
    <w:abstractNumId w:val="21"/>
  </w:num>
  <w:num w:numId="2" w16cid:durableId="244144090">
    <w:abstractNumId w:val="10"/>
  </w:num>
  <w:num w:numId="3" w16cid:durableId="1514882922">
    <w:abstractNumId w:val="4"/>
  </w:num>
  <w:num w:numId="4" w16cid:durableId="278495110">
    <w:abstractNumId w:val="5"/>
  </w:num>
  <w:num w:numId="5" w16cid:durableId="185757081">
    <w:abstractNumId w:val="11"/>
  </w:num>
  <w:num w:numId="6" w16cid:durableId="1339847018">
    <w:abstractNumId w:val="16"/>
  </w:num>
  <w:num w:numId="7" w16cid:durableId="1849176395">
    <w:abstractNumId w:val="7"/>
  </w:num>
  <w:num w:numId="8" w16cid:durableId="2024891439">
    <w:abstractNumId w:val="13"/>
  </w:num>
  <w:num w:numId="9" w16cid:durableId="698555022">
    <w:abstractNumId w:val="18"/>
  </w:num>
  <w:num w:numId="10" w16cid:durableId="1555242009">
    <w:abstractNumId w:val="1"/>
  </w:num>
  <w:num w:numId="11" w16cid:durableId="890921489">
    <w:abstractNumId w:val="8"/>
  </w:num>
  <w:num w:numId="12" w16cid:durableId="1717968040">
    <w:abstractNumId w:val="20"/>
  </w:num>
  <w:num w:numId="13" w16cid:durableId="1520388498">
    <w:abstractNumId w:val="14"/>
  </w:num>
  <w:num w:numId="14" w16cid:durableId="2133668335">
    <w:abstractNumId w:val="0"/>
  </w:num>
  <w:num w:numId="15" w16cid:durableId="1880050854">
    <w:abstractNumId w:val="9"/>
  </w:num>
  <w:num w:numId="16" w16cid:durableId="901716391">
    <w:abstractNumId w:val="17"/>
  </w:num>
  <w:num w:numId="17" w16cid:durableId="880749246">
    <w:abstractNumId w:val="23"/>
  </w:num>
  <w:num w:numId="18" w16cid:durableId="551693149">
    <w:abstractNumId w:val="15"/>
  </w:num>
  <w:num w:numId="19" w16cid:durableId="1743329838">
    <w:abstractNumId w:val="6"/>
  </w:num>
  <w:num w:numId="20" w16cid:durableId="200628967">
    <w:abstractNumId w:val="19"/>
  </w:num>
  <w:num w:numId="21" w16cid:durableId="150096561">
    <w:abstractNumId w:val="22"/>
  </w:num>
  <w:num w:numId="22" w16cid:durableId="846097569">
    <w:abstractNumId w:val="12"/>
  </w:num>
  <w:num w:numId="23" w16cid:durableId="118913459">
    <w:abstractNumId w:val="3"/>
  </w:num>
  <w:num w:numId="24" w16cid:durableId="59679506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0C56"/>
    <w:rsid w:val="000A70AB"/>
    <w:rsid w:val="000C12B1"/>
    <w:rsid w:val="003F1A6D"/>
    <w:rsid w:val="00562B14"/>
    <w:rsid w:val="00776023"/>
    <w:rsid w:val="008D06BB"/>
    <w:rsid w:val="00983508"/>
    <w:rsid w:val="00B40C56"/>
    <w:rsid w:val="00C219FA"/>
    <w:rsid w:val="00C40B92"/>
    <w:rsid w:val="00C62551"/>
    <w:rsid w:val="00CB47FC"/>
    <w:rsid w:val="00DB5D40"/>
    <w:rsid w:val="00DF44BF"/>
    <w:rsid w:val="00F42EC6"/>
    <w:rsid w:val="00F6504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B30148"/>
  <w15:docId w15:val="{95D8970D-8A7A-4E4C-8099-94C32A15D7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cs-CZ"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uiPriority w:val="9"/>
    <w:qFormat/>
    <w:pPr>
      <w:keepNext/>
      <w:keepLines/>
      <w:spacing w:before="480" w:after="120"/>
      <w:outlineLvl w:val="0"/>
    </w:pPr>
    <w:rPr>
      <w:b/>
      <w:bCs/>
      <w:sz w:val="48"/>
      <w:szCs w:val="48"/>
    </w:rPr>
  </w:style>
  <w:style w:type="paragraph" w:styleId="Nadpis2">
    <w:name w:val="heading 2"/>
    <w:basedOn w:val="Normln"/>
    <w:next w:val="Normln"/>
    <w:uiPriority w:val="9"/>
    <w:semiHidden/>
    <w:unhideWhenUsed/>
    <w:qFormat/>
    <w:pPr>
      <w:keepNext/>
      <w:spacing w:after="119" w:line="240" w:lineRule="auto"/>
      <w:outlineLvl w:val="1"/>
    </w:pPr>
    <w:rPr>
      <w:rFonts w:ascii="Times New Roman" w:eastAsia="Times New Roman" w:hAnsi="Times New Roman" w:cs="Times New Roman"/>
      <w:b/>
      <w:bCs/>
      <w:sz w:val="36"/>
      <w:szCs w:val="36"/>
    </w:rPr>
  </w:style>
  <w:style w:type="paragraph" w:styleId="Nadpis3">
    <w:name w:val="heading 3"/>
    <w:basedOn w:val="Normln"/>
    <w:next w:val="Normln"/>
    <w:uiPriority w:val="9"/>
    <w:semiHidden/>
    <w:unhideWhenUsed/>
    <w:qFormat/>
    <w:pPr>
      <w:keepNext/>
      <w:spacing w:before="240" w:after="60"/>
      <w:outlineLvl w:val="2"/>
    </w:pPr>
    <w:rPr>
      <w:rFonts w:ascii="Cambria" w:eastAsia="Cambria" w:hAnsi="Cambria" w:cs="Cambria"/>
      <w:b/>
      <w:bCs/>
      <w:sz w:val="26"/>
      <w:szCs w:val="26"/>
    </w:rPr>
  </w:style>
  <w:style w:type="paragraph" w:styleId="Nadpis4">
    <w:name w:val="heading 4"/>
    <w:basedOn w:val="Normln"/>
    <w:next w:val="Normln"/>
    <w:uiPriority w:val="9"/>
    <w:semiHidden/>
    <w:unhideWhenUsed/>
    <w:qFormat/>
    <w:pPr>
      <w:keepNext/>
      <w:keepLines/>
      <w:spacing w:before="240" w:after="40"/>
      <w:outlineLvl w:val="3"/>
    </w:pPr>
    <w:rPr>
      <w:b/>
      <w:bCs/>
      <w:sz w:val="24"/>
      <w:szCs w:val="24"/>
    </w:rPr>
  </w:style>
  <w:style w:type="paragraph" w:styleId="Nadpis5">
    <w:name w:val="heading 5"/>
    <w:basedOn w:val="Normln"/>
    <w:next w:val="Normln"/>
    <w:uiPriority w:val="9"/>
    <w:semiHidden/>
    <w:unhideWhenUsed/>
    <w:qFormat/>
    <w:pPr>
      <w:keepNext/>
      <w:keepLines/>
      <w:spacing w:before="220" w:after="40"/>
      <w:outlineLvl w:val="4"/>
    </w:pPr>
    <w:rPr>
      <w:b/>
      <w:bCs/>
    </w:rPr>
  </w:style>
  <w:style w:type="paragraph" w:styleId="Nadpis6">
    <w:name w:val="heading 6"/>
    <w:basedOn w:val="Normln"/>
    <w:next w:val="Normln"/>
    <w:uiPriority w:val="9"/>
    <w:semiHidden/>
    <w:unhideWhenUsed/>
    <w:qFormat/>
    <w:pPr>
      <w:keepNext/>
      <w:keepLines/>
      <w:spacing w:before="200" w:after="40"/>
      <w:outlineLvl w:val="5"/>
    </w:pPr>
    <w:rPr>
      <w:b/>
      <w:bCs/>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ev">
    <w:name w:val="Title"/>
    <w:basedOn w:val="Normln"/>
    <w:next w:val="Normln"/>
    <w:uiPriority w:val="10"/>
    <w:qFormat/>
    <w:pPr>
      <w:spacing w:after="0" w:line="240" w:lineRule="auto"/>
      <w:jc w:val="center"/>
    </w:pPr>
    <w:rPr>
      <w:rFonts w:ascii="Times New Roman" w:eastAsia="Times New Roman" w:hAnsi="Times New Roman" w:cs="Times New Roman"/>
      <w:b/>
      <w:bCs/>
      <w:sz w:val="28"/>
      <w:szCs w:val="28"/>
    </w:rPr>
  </w:style>
  <w:style w:type="table" w:customStyle="1" w:styleId="TableNormal0">
    <w:name w:val="TableNormal"/>
    <w:tblPr>
      <w:tblCellMar>
        <w:top w:w="0" w:type="dxa"/>
        <w:left w:w="0" w:type="dxa"/>
        <w:bottom w:w="0" w:type="dxa"/>
        <w:right w:w="0" w:type="dxa"/>
      </w:tblCellMar>
    </w:tblPr>
  </w:style>
  <w:style w:type="table" w:customStyle="1" w:styleId="TableNormal1">
    <w:name w:val="TableNormal"/>
    <w:tblPr>
      <w:tblCellMar>
        <w:top w:w="0" w:type="dxa"/>
        <w:left w:w="0" w:type="dxa"/>
        <w:bottom w:w="0" w:type="dxa"/>
        <w:right w:w="0" w:type="dxa"/>
      </w:tblCellMar>
    </w:tblPr>
  </w:style>
  <w:style w:type="table" w:customStyle="1" w:styleId="TableNormal2">
    <w:name w:val="Table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character" w:customStyle="1" w:styleId="Nadpis2Char">
    <w:name w:val="Nadpis 2 Char"/>
    <w:uiPriority w:val="9"/>
    <w:rsid w:val="00671FBD"/>
    <w:rPr>
      <w:rFonts w:ascii="Times New Roman" w:eastAsia="Times New Roman" w:hAnsi="Times New Roman" w:cs="Times New Roman"/>
      <w:b/>
      <w:bCs/>
      <w:sz w:val="36"/>
      <w:szCs w:val="36"/>
    </w:rPr>
  </w:style>
  <w:style w:type="character" w:styleId="Hypertextovodkaz">
    <w:name w:val="Hyperlink"/>
    <w:uiPriority w:val="99"/>
    <w:unhideWhenUsed/>
    <w:rsid w:val="00671FBD"/>
    <w:rPr>
      <w:color w:val="000080"/>
      <w:u w:val="single"/>
    </w:rPr>
  </w:style>
  <w:style w:type="paragraph" w:customStyle="1" w:styleId="western">
    <w:name w:val="western"/>
    <w:rsid w:val="00671FBD"/>
    <w:pPr>
      <w:spacing w:before="100" w:beforeAutospacing="1" w:after="119" w:line="240" w:lineRule="auto"/>
      <w:jc w:val="both"/>
    </w:pPr>
    <w:rPr>
      <w:rFonts w:ascii="Arial" w:eastAsia="Times New Roman" w:hAnsi="Arial" w:cs="Arial"/>
      <w:sz w:val="20"/>
      <w:szCs w:val="20"/>
    </w:rPr>
  </w:style>
  <w:style w:type="paragraph" w:customStyle="1" w:styleId="western1">
    <w:name w:val="western1"/>
    <w:rsid w:val="00671FBD"/>
    <w:pPr>
      <w:spacing w:before="28" w:after="28" w:line="240" w:lineRule="auto"/>
      <w:ind w:left="57" w:right="57"/>
    </w:pPr>
    <w:rPr>
      <w:rFonts w:ascii="Arial" w:eastAsia="Times New Roman" w:hAnsi="Arial" w:cs="Arial"/>
      <w:sz w:val="20"/>
      <w:szCs w:val="20"/>
    </w:rPr>
  </w:style>
  <w:style w:type="paragraph" w:styleId="Normlnweb">
    <w:name w:val="Normal (Web)"/>
    <w:uiPriority w:val="99"/>
    <w:unhideWhenUsed/>
    <w:rsid w:val="00671FBD"/>
    <w:pPr>
      <w:spacing w:before="100" w:beforeAutospacing="1" w:after="119" w:line="240" w:lineRule="auto"/>
      <w:jc w:val="both"/>
    </w:pPr>
    <w:rPr>
      <w:rFonts w:ascii="Times New Roman" w:eastAsia="Times New Roman" w:hAnsi="Times New Roman"/>
      <w:sz w:val="24"/>
      <w:szCs w:val="24"/>
    </w:rPr>
  </w:style>
  <w:style w:type="character" w:styleId="Siln">
    <w:name w:val="Strong"/>
    <w:uiPriority w:val="22"/>
    <w:qFormat/>
    <w:rsid w:val="00671FBD"/>
    <w:rPr>
      <w:b/>
      <w:bCs/>
    </w:rPr>
  </w:style>
  <w:style w:type="paragraph" w:customStyle="1" w:styleId="Rozvrendokumentu">
    <w:name w:val="Rozvržení dokumentu"/>
    <w:semiHidden/>
    <w:rsid w:val="00E9290C"/>
    <w:pPr>
      <w:shd w:val="clear" w:color="auto" w:fill="000080"/>
    </w:pPr>
    <w:rPr>
      <w:rFonts w:ascii="Tahoma" w:hAnsi="Tahoma" w:cs="Tahoma"/>
      <w:sz w:val="20"/>
      <w:szCs w:val="20"/>
    </w:rPr>
  </w:style>
  <w:style w:type="paragraph" w:styleId="Textbubliny">
    <w:name w:val="Balloon Text"/>
    <w:semiHidden/>
    <w:rsid w:val="002C19C6"/>
    <w:rPr>
      <w:rFonts w:ascii="Tahoma" w:hAnsi="Tahoma" w:cs="Tahoma"/>
      <w:sz w:val="16"/>
      <w:szCs w:val="16"/>
    </w:rPr>
  </w:style>
  <w:style w:type="paragraph" w:customStyle="1" w:styleId="seznam-western">
    <w:name w:val="seznam-western"/>
    <w:rsid w:val="00A325D7"/>
    <w:pPr>
      <w:spacing w:before="100" w:beforeAutospacing="1" w:after="119" w:line="240" w:lineRule="auto"/>
      <w:jc w:val="both"/>
    </w:pPr>
    <w:rPr>
      <w:rFonts w:ascii="Times New Roman" w:eastAsia="Times New Roman" w:hAnsi="Times New Roman"/>
      <w:sz w:val="24"/>
      <w:szCs w:val="24"/>
    </w:rPr>
  </w:style>
  <w:style w:type="paragraph" w:styleId="Bezmezer">
    <w:name w:val="No Spacing"/>
    <w:link w:val="BezmezerChar"/>
    <w:uiPriority w:val="1"/>
    <w:qFormat/>
    <w:rsid w:val="00F003AE"/>
  </w:style>
  <w:style w:type="paragraph" w:styleId="Zhlav">
    <w:name w:val="header"/>
    <w:link w:val="ZhlavChar"/>
    <w:uiPriority w:val="99"/>
    <w:unhideWhenUsed/>
    <w:rsid w:val="00B01175"/>
    <w:pPr>
      <w:tabs>
        <w:tab w:val="center" w:pos="4536"/>
        <w:tab w:val="right" w:pos="9072"/>
      </w:tabs>
    </w:pPr>
  </w:style>
  <w:style w:type="character" w:customStyle="1" w:styleId="ZhlavChar">
    <w:name w:val="Záhlaví Char"/>
    <w:link w:val="Zhlav"/>
    <w:uiPriority w:val="99"/>
    <w:rsid w:val="00B01175"/>
    <w:rPr>
      <w:sz w:val="22"/>
      <w:szCs w:val="22"/>
    </w:rPr>
  </w:style>
  <w:style w:type="paragraph" w:styleId="Zpat">
    <w:name w:val="footer"/>
    <w:link w:val="ZpatChar"/>
    <w:uiPriority w:val="99"/>
    <w:unhideWhenUsed/>
    <w:rsid w:val="00B01175"/>
    <w:pPr>
      <w:tabs>
        <w:tab w:val="center" w:pos="4536"/>
        <w:tab w:val="right" w:pos="9072"/>
      </w:tabs>
    </w:pPr>
  </w:style>
  <w:style w:type="character" w:customStyle="1" w:styleId="ZpatChar">
    <w:name w:val="Zápatí Char"/>
    <w:link w:val="Zpat"/>
    <w:uiPriority w:val="99"/>
    <w:rsid w:val="00B01175"/>
    <w:rPr>
      <w:sz w:val="22"/>
      <w:szCs w:val="22"/>
    </w:rPr>
  </w:style>
  <w:style w:type="character" w:styleId="Odkaznakoment">
    <w:name w:val="annotation reference"/>
    <w:uiPriority w:val="99"/>
    <w:semiHidden/>
    <w:unhideWhenUsed/>
    <w:rsid w:val="00A245EA"/>
    <w:rPr>
      <w:sz w:val="16"/>
      <w:szCs w:val="16"/>
    </w:rPr>
  </w:style>
  <w:style w:type="paragraph" w:styleId="Textkomente">
    <w:name w:val="annotation text"/>
    <w:link w:val="TextkomenteChar"/>
    <w:uiPriority w:val="99"/>
    <w:unhideWhenUsed/>
    <w:rsid w:val="00A245EA"/>
    <w:rPr>
      <w:sz w:val="20"/>
      <w:szCs w:val="20"/>
    </w:rPr>
  </w:style>
  <w:style w:type="character" w:customStyle="1" w:styleId="TextkomenteChar">
    <w:name w:val="Text komentáře Char"/>
    <w:link w:val="Textkomente"/>
    <w:uiPriority w:val="99"/>
    <w:rsid w:val="00A245EA"/>
  </w:style>
  <w:style w:type="paragraph" w:styleId="Pedmtkomente">
    <w:name w:val="annotation subject"/>
    <w:basedOn w:val="Textkomente"/>
    <w:next w:val="Textkomente"/>
    <w:link w:val="PedmtkomenteChar"/>
    <w:uiPriority w:val="99"/>
    <w:semiHidden/>
    <w:unhideWhenUsed/>
    <w:rsid w:val="00A245EA"/>
    <w:rPr>
      <w:b/>
      <w:bCs/>
    </w:rPr>
  </w:style>
  <w:style w:type="character" w:customStyle="1" w:styleId="PedmtkomenteChar">
    <w:name w:val="Předmět komentáře Char"/>
    <w:link w:val="Pedmtkomente"/>
    <w:uiPriority w:val="99"/>
    <w:semiHidden/>
    <w:rsid w:val="00A245EA"/>
    <w:rPr>
      <w:b/>
      <w:bCs/>
    </w:rPr>
  </w:style>
  <w:style w:type="character" w:customStyle="1" w:styleId="Nadpis3Char">
    <w:name w:val="Nadpis 3 Char"/>
    <w:uiPriority w:val="9"/>
    <w:rsid w:val="006E1242"/>
    <w:rPr>
      <w:rFonts w:ascii="Cambria" w:eastAsia="Times New Roman" w:hAnsi="Cambria" w:cs="Times New Roman"/>
      <w:b/>
      <w:bCs/>
      <w:sz w:val="26"/>
      <w:szCs w:val="26"/>
    </w:rPr>
  </w:style>
  <w:style w:type="table" w:styleId="Mkatabulky">
    <w:name w:val="Table Grid"/>
    <w:basedOn w:val="Normlntabulka"/>
    <w:uiPriority w:val="59"/>
    <w:rsid w:val="0065249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dstavecseseznamem">
    <w:name w:val="List Paragraph"/>
    <w:aliases w:val="ODST S,Odstavec se seznamem a odrážkou,1 úroveň Odstavec se seznamem,List Paragraph (Czech Tourism),Nad,Odstavec cíl se seznamem,Odstavec se seznamem5,Odstavec_muj,NAKIT List Paragraph,Reference List,s odrážkami,Odrážky"/>
    <w:link w:val="OdstavecseseznamemChar"/>
    <w:uiPriority w:val="34"/>
    <w:qFormat/>
    <w:rsid w:val="003B17D4"/>
    <w:pPr>
      <w:ind w:left="720"/>
      <w:contextualSpacing/>
    </w:pPr>
  </w:style>
  <w:style w:type="paragraph" w:customStyle="1" w:styleId="nadpis">
    <w:name w:val="nadpis"/>
    <w:basedOn w:val="Zkladntext"/>
    <w:rsid w:val="009B1991"/>
    <w:pPr>
      <w:spacing w:after="113" w:line="240" w:lineRule="auto"/>
    </w:pPr>
    <w:rPr>
      <w:rFonts w:ascii="Arial Narrow" w:eastAsia="Times New Roman" w:hAnsi="Arial Narrow"/>
      <w:b/>
      <w:color w:val="000000"/>
    </w:rPr>
  </w:style>
  <w:style w:type="paragraph" w:styleId="Zkladntext">
    <w:name w:val="Body Text"/>
    <w:link w:val="ZkladntextChar"/>
    <w:uiPriority w:val="99"/>
    <w:semiHidden/>
    <w:unhideWhenUsed/>
    <w:rsid w:val="009B1991"/>
    <w:pPr>
      <w:spacing w:after="120"/>
    </w:pPr>
  </w:style>
  <w:style w:type="character" w:customStyle="1" w:styleId="ZkladntextChar">
    <w:name w:val="Základní text Char"/>
    <w:link w:val="Zkladntext"/>
    <w:uiPriority w:val="99"/>
    <w:semiHidden/>
    <w:rsid w:val="009B1991"/>
    <w:rPr>
      <w:sz w:val="22"/>
      <w:szCs w:val="22"/>
    </w:rPr>
  </w:style>
  <w:style w:type="paragraph" w:customStyle="1" w:styleId="Normln1">
    <w:name w:val="Normální1"/>
    <w:rsid w:val="00632E2D"/>
    <w:pPr>
      <w:widowControl w:val="0"/>
      <w:suppressAutoHyphens/>
      <w:overflowPunct w:val="0"/>
      <w:autoSpaceDE w:val="0"/>
      <w:spacing w:after="0" w:line="242" w:lineRule="auto"/>
      <w:textAlignment w:val="baseline"/>
    </w:pPr>
    <w:rPr>
      <w:rFonts w:ascii="Times New Roman" w:eastAsia="Times New Roman" w:hAnsi="Times New Roman"/>
      <w:color w:val="000000"/>
      <w:sz w:val="20"/>
      <w:szCs w:val="20"/>
    </w:rPr>
  </w:style>
  <w:style w:type="paragraph" w:customStyle="1" w:styleId="Odstavec">
    <w:name w:val="Odstavec"/>
    <w:basedOn w:val="Zkladntext"/>
    <w:rsid w:val="00632E2D"/>
    <w:pPr>
      <w:widowControl w:val="0"/>
      <w:suppressAutoHyphens/>
      <w:overflowPunct w:val="0"/>
      <w:autoSpaceDE w:val="0"/>
      <w:spacing w:after="0" w:line="240" w:lineRule="auto"/>
      <w:ind w:firstLine="539"/>
      <w:jc w:val="both"/>
      <w:textAlignment w:val="baseline"/>
    </w:pPr>
    <w:rPr>
      <w:rFonts w:ascii="Times New Roman" w:eastAsia="Times New Roman" w:hAnsi="Times New Roman"/>
      <w:color w:val="000000"/>
      <w:sz w:val="24"/>
      <w:szCs w:val="20"/>
    </w:rPr>
  </w:style>
  <w:style w:type="paragraph" w:styleId="Revize">
    <w:name w:val="Revision"/>
    <w:hidden/>
    <w:uiPriority w:val="99"/>
    <w:semiHidden/>
    <w:rsid w:val="00E55B7D"/>
  </w:style>
  <w:style w:type="numbering" w:customStyle="1" w:styleId="WW8Num34">
    <w:name w:val="WW8Num34"/>
    <w:basedOn w:val="Bezseznamu"/>
    <w:rsid w:val="007B145F"/>
  </w:style>
  <w:style w:type="character" w:customStyle="1" w:styleId="NzevChar">
    <w:name w:val="Název Char"/>
    <w:basedOn w:val="Standardnpsmoodstavce"/>
    <w:uiPriority w:val="99"/>
    <w:rsid w:val="00233929"/>
    <w:rPr>
      <w:rFonts w:ascii="Times New Roman" w:eastAsia="Times New Roman" w:hAnsi="Times New Roman"/>
      <w:b/>
      <w:bCs/>
      <w:sz w:val="28"/>
      <w:szCs w:val="24"/>
    </w:rPr>
  </w:style>
  <w:style w:type="numbering" w:customStyle="1" w:styleId="Styl1">
    <w:name w:val="Styl1"/>
    <w:uiPriority w:val="99"/>
    <w:rsid w:val="00D47679"/>
  </w:style>
  <w:style w:type="numbering" w:customStyle="1" w:styleId="Styl2">
    <w:name w:val="Styl2"/>
    <w:uiPriority w:val="99"/>
    <w:rsid w:val="00D47679"/>
  </w:style>
  <w:style w:type="numbering" w:customStyle="1" w:styleId="Styl3">
    <w:name w:val="Styl3"/>
    <w:uiPriority w:val="99"/>
    <w:rsid w:val="00DD3671"/>
  </w:style>
  <w:style w:type="numbering" w:customStyle="1" w:styleId="Styl4">
    <w:name w:val="Styl4"/>
    <w:uiPriority w:val="99"/>
    <w:rsid w:val="00936E2B"/>
  </w:style>
  <w:style w:type="numbering" w:customStyle="1" w:styleId="Styl5">
    <w:name w:val="Styl5"/>
    <w:uiPriority w:val="99"/>
    <w:rsid w:val="00936E2B"/>
  </w:style>
  <w:style w:type="paragraph" w:styleId="Zkladntext2">
    <w:name w:val="Body Text 2"/>
    <w:link w:val="Zkladntext2Char"/>
    <w:uiPriority w:val="99"/>
    <w:unhideWhenUsed/>
    <w:rsid w:val="000052C6"/>
    <w:pPr>
      <w:spacing w:after="120" w:line="480" w:lineRule="auto"/>
    </w:pPr>
    <w:rPr>
      <w:rFonts w:ascii="Times New Roman" w:eastAsia="Times New Roman" w:hAnsi="Times New Roman"/>
      <w:sz w:val="24"/>
      <w:szCs w:val="24"/>
    </w:rPr>
  </w:style>
  <w:style w:type="character" w:customStyle="1" w:styleId="Zkladntext2Char">
    <w:name w:val="Základní text 2 Char"/>
    <w:basedOn w:val="Standardnpsmoodstavce"/>
    <w:link w:val="Zkladntext2"/>
    <w:uiPriority w:val="99"/>
    <w:rsid w:val="000052C6"/>
    <w:rPr>
      <w:rFonts w:ascii="Times New Roman" w:eastAsia="Times New Roman" w:hAnsi="Times New Roman"/>
      <w:sz w:val="24"/>
      <w:szCs w:val="24"/>
    </w:rPr>
  </w:style>
  <w:style w:type="table" w:customStyle="1" w:styleId="a">
    <w:basedOn w:val="TableNormal3"/>
    <w:tblPr>
      <w:tblStyleRowBandSize w:val="1"/>
      <w:tblStyleColBandSize w:val="1"/>
      <w:tblCellMar>
        <w:left w:w="115" w:type="dxa"/>
        <w:right w:w="115" w:type="dxa"/>
      </w:tblCellMar>
    </w:tblPr>
  </w:style>
  <w:style w:type="table" w:customStyle="1" w:styleId="a0">
    <w:basedOn w:val="TableNormal3"/>
    <w:tblPr>
      <w:tblStyleRowBandSize w:val="1"/>
      <w:tblStyleColBandSize w:val="1"/>
      <w:tblCellMar>
        <w:left w:w="115" w:type="dxa"/>
        <w:right w:w="115" w:type="dxa"/>
      </w:tblCellMar>
    </w:tblPr>
  </w:style>
  <w:style w:type="table" w:customStyle="1" w:styleId="a1">
    <w:basedOn w:val="TableNormal3"/>
    <w:tblPr>
      <w:tblStyleRowBandSize w:val="1"/>
      <w:tblStyleColBandSize w:val="1"/>
      <w:tblCellMar>
        <w:left w:w="115" w:type="dxa"/>
        <w:right w:w="115" w:type="dxa"/>
      </w:tblCellMar>
    </w:tblPr>
  </w:style>
  <w:style w:type="table" w:customStyle="1" w:styleId="a2">
    <w:basedOn w:val="TableNormal3"/>
    <w:tblPr>
      <w:tblStyleRowBandSize w:val="1"/>
      <w:tblStyleColBandSize w:val="1"/>
      <w:tblCellMar>
        <w:left w:w="115" w:type="dxa"/>
        <w:right w:w="115" w:type="dxa"/>
      </w:tblCellMar>
    </w:tblPr>
  </w:style>
  <w:style w:type="table" w:customStyle="1" w:styleId="a3">
    <w:basedOn w:val="TableNormal3"/>
    <w:tblPr>
      <w:tblStyleRowBandSize w:val="1"/>
      <w:tblStyleColBandSize w:val="1"/>
      <w:tblCellMar>
        <w:left w:w="115" w:type="dxa"/>
        <w:right w:w="115" w:type="dxa"/>
      </w:tblCellMar>
    </w:tblPr>
  </w:style>
  <w:style w:type="character" w:customStyle="1" w:styleId="OdstavecseseznamemChar">
    <w:name w:val="Odstavec se seznamem Char"/>
    <w:aliases w:val="ODST S Char,Odstavec se seznamem a odrážkou Char,1 úroveň Odstavec se seznamem Char,List Paragraph (Czech Tourism) Char,Nad Char,Odstavec cíl se seznamem Char,Odstavec se seznamem5 Char,Odstavec_muj Char,Reference List Char"/>
    <w:basedOn w:val="Standardnpsmoodstavce"/>
    <w:link w:val="Odstavecseseznamem"/>
    <w:uiPriority w:val="34"/>
    <w:locked/>
    <w:rsid w:val="00F429FB"/>
  </w:style>
  <w:style w:type="character" w:customStyle="1" w:styleId="BezmezerChar">
    <w:name w:val="Bez mezer Char"/>
    <w:link w:val="Bezmezer"/>
    <w:uiPriority w:val="1"/>
    <w:rsid w:val="00F429FB"/>
  </w:style>
  <w:style w:type="table" w:customStyle="1" w:styleId="a4">
    <w:basedOn w:val="TableNormal3"/>
    <w:tblPr>
      <w:tblStyleRowBandSize w:val="1"/>
      <w:tblStyleColBandSize w:val="1"/>
      <w:tblCellMar>
        <w:left w:w="115" w:type="dxa"/>
        <w:right w:w="115" w:type="dxa"/>
      </w:tblCellMar>
    </w:tblPr>
  </w:style>
  <w:style w:type="table" w:customStyle="1" w:styleId="a5">
    <w:basedOn w:val="TableNormal3"/>
    <w:tblPr>
      <w:tblStyleRowBandSize w:val="1"/>
      <w:tblStyleColBandSize w:val="1"/>
      <w:tblCellMar>
        <w:left w:w="115" w:type="dxa"/>
        <w:right w:w="115" w:type="dxa"/>
      </w:tblCellMar>
    </w:tblPr>
  </w:style>
  <w:style w:type="table" w:customStyle="1" w:styleId="a6">
    <w:basedOn w:val="TableNormal3"/>
    <w:tblPr>
      <w:tblStyleRowBandSize w:val="1"/>
      <w:tblStyleColBandSize w:val="1"/>
      <w:tblCellMar>
        <w:left w:w="115" w:type="dxa"/>
        <w:right w:w="115" w:type="dxa"/>
      </w:tblCellMar>
    </w:tblPr>
  </w:style>
  <w:style w:type="table" w:customStyle="1" w:styleId="a7">
    <w:basedOn w:val="TableNormal3"/>
    <w:tblPr>
      <w:tblStyleRowBandSize w:val="1"/>
      <w:tblStyleColBandSize w:val="1"/>
      <w:tblCellMar>
        <w:left w:w="115" w:type="dxa"/>
        <w:right w:w="115" w:type="dxa"/>
      </w:tblCellMar>
    </w:tblPr>
  </w:style>
  <w:style w:type="table" w:customStyle="1" w:styleId="a8">
    <w:basedOn w:val="TableNormal3"/>
    <w:tblPr>
      <w:tblStyleRowBandSize w:val="1"/>
      <w:tblStyleColBandSize w:val="1"/>
      <w:tblCellMar>
        <w:left w:w="115" w:type="dxa"/>
        <w:right w:w="115" w:type="dxa"/>
      </w:tblCellMar>
    </w:tblPr>
  </w:style>
  <w:style w:type="table" w:customStyle="1" w:styleId="a9">
    <w:basedOn w:val="TableNormal2"/>
    <w:tblPr>
      <w:tblStyleRowBandSize w:val="1"/>
      <w:tblStyleColBandSize w:val="1"/>
      <w:tblCellMar>
        <w:left w:w="115" w:type="dxa"/>
        <w:right w:w="115" w:type="dxa"/>
      </w:tblCellMar>
    </w:tblPr>
  </w:style>
  <w:style w:type="table" w:customStyle="1" w:styleId="aa">
    <w:basedOn w:val="TableNormal2"/>
    <w:tblPr>
      <w:tblStyleRowBandSize w:val="1"/>
      <w:tblStyleColBandSize w:val="1"/>
      <w:tblCellMar>
        <w:left w:w="115" w:type="dxa"/>
        <w:right w:w="115" w:type="dxa"/>
      </w:tblCellMar>
    </w:tblPr>
  </w:style>
  <w:style w:type="table" w:customStyle="1" w:styleId="ab">
    <w:basedOn w:val="TableNormal2"/>
    <w:tblPr>
      <w:tblStyleRowBandSize w:val="1"/>
      <w:tblStyleColBandSize w:val="1"/>
      <w:tblCellMar>
        <w:left w:w="115" w:type="dxa"/>
        <w:right w:w="115" w:type="dxa"/>
      </w:tblCellMar>
    </w:tblPr>
  </w:style>
  <w:style w:type="table" w:customStyle="1" w:styleId="ac">
    <w:basedOn w:val="TableNormal2"/>
    <w:tblPr>
      <w:tblStyleRowBandSize w:val="1"/>
      <w:tblStyleColBandSize w:val="1"/>
      <w:tblCellMar>
        <w:top w:w="100" w:type="dxa"/>
        <w:left w:w="100" w:type="dxa"/>
        <w:bottom w:w="100" w:type="dxa"/>
        <w:right w:w="100" w:type="dxa"/>
      </w:tblCellMar>
    </w:tblPr>
  </w:style>
  <w:style w:type="table" w:customStyle="1" w:styleId="ad">
    <w:basedOn w:val="TableNormal2"/>
    <w:tblPr>
      <w:tblStyleRowBandSize w:val="1"/>
      <w:tblStyleColBandSize w:val="1"/>
      <w:tblCellMar>
        <w:left w:w="115" w:type="dxa"/>
        <w:right w:w="115" w:type="dxa"/>
      </w:tblCellMar>
    </w:tblPr>
  </w:style>
  <w:style w:type="table" w:customStyle="1" w:styleId="ae">
    <w:basedOn w:val="TableNormal1"/>
    <w:tblPr>
      <w:tblStyleRowBandSize w:val="1"/>
      <w:tblStyleColBandSize w:val="1"/>
      <w:tblCellMar>
        <w:left w:w="115" w:type="dxa"/>
        <w:right w:w="115" w:type="dxa"/>
      </w:tblCellMar>
    </w:tblPr>
  </w:style>
  <w:style w:type="table" w:customStyle="1" w:styleId="af">
    <w:basedOn w:val="TableNormal1"/>
    <w:tblPr>
      <w:tblStyleRowBandSize w:val="1"/>
      <w:tblStyleColBandSize w:val="1"/>
      <w:tblCellMar>
        <w:left w:w="115" w:type="dxa"/>
        <w:right w:w="115" w:type="dxa"/>
      </w:tblCellMar>
    </w:tblPr>
  </w:style>
  <w:style w:type="table" w:customStyle="1" w:styleId="af0">
    <w:basedOn w:val="TableNormal1"/>
    <w:tblPr>
      <w:tblStyleRowBandSize w:val="1"/>
      <w:tblStyleColBandSize w:val="1"/>
      <w:tblCellMar>
        <w:left w:w="115" w:type="dxa"/>
        <w:right w:w="115" w:type="dxa"/>
      </w:tblCellMar>
    </w:tblPr>
  </w:style>
  <w:style w:type="table" w:customStyle="1" w:styleId="af1">
    <w:basedOn w:val="TableNormal1"/>
    <w:tblPr>
      <w:tblStyleRowBandSize w:val="1"/>
      <w:tblStyleColBandSize w:val="1"/>
      <w:tblCellMar>
        <w:top w:w="100" w:type="dxa"/>
        <w:left w:w="100" w:type="dxa"/>
        <w:bottom w:w="100" w:type="dxa"/>
        <w:right w:w="100" w:type="dxa"/>
      </w:tblCellMar>
    </w:tblPr>
  </w:style>
  <w:style w:type="table" w:customStyle="1" w:styleId="af2">
    <w:basedOn w:val="TableNormal1"/>
    <w:tblPr>
      <w:tblStyleRowBandSize w:val="1"/>
      <w:tblStyleColBandSize w:val="1"/>
      <w:tblCellMar>
        <w:left w:w="115" w:type="dxa"/>
        <w:right w:w="115" w:type="dxa"/>
      </w:tblCellMar>
    </w:tblPr>
  </w:style>
  <w:style w:type="paragraph" w:styleId="Podnadpis">
    <w:name w:val="Subtitle"/>
    <w:basedOn w:val="Normln"/>
    <w:next w:val="Normln"/>
    <w:uiPriority w:val="11"/>
    <w:qFormat/>
    <w:pPr>
      <w:keepNext/>
      <w:keepLines/>
      <w:spacing w:before="360" w:after="80"/>
    </w:pPr>
    <w:rPr>
      <w:rFonts w:ascii="Georgia" w:eastAsia="Georgia" w:hAnsi="Georgia" w:cs="Georgia"/>
      <w:i/>
      <w:iCs/>
      <w:color w:val="666666"/>
      <w:sz w:val="48"/>
      <w:szCs w:val="48"/>
    </w:rPr>
  </w:style>
  <w:style w:type="table" w:customStyle="1" w:styleId="af3">
    <w:basedOn w:val="TableNormal0"/>
    <w:tblPr>
      <w:tblStyleRowBandSize w:val="1"/>
      <w:tblStyleColBandSize w:val="1"/>
      <w:tblCellMar>
        <w:left w:w="115" w:type="dxa"/>
        <w:right w:w="115" w:type="dxa"/>
      </w:tblCellMar>
    </w:tblPr>
  </w:style>
  <w:style w:type="table" w:customStyle="1" w:styleId="af4">
    <w:basedOn w:val="TableNormal0"/>
    <w:tblPr>
      <w:tblStyleRowBandSize w:val="1"/>
      <w:tblStyleColBandSize w:val="1"/>
      <w:tblCellMar>
        <w:left w:w="115" w:type="dxa"/>
        <w:right w:w="115" w:type="dxa"/>
      </w:tblCellMar>
    </w:tblPr>
  </w:style>
  <w:style w:type="table" w:customStyle="1" w:styleId="af5">
    <w:basedOn w:val="TableNormal0"/>
    <w:tblPr>
      <w:tblStyleRowBandSize w:val="1"/>
      <w:tblStyleColBandSize w:val="1"/>
      <w:tblCellMar>
        <w:left w:w="115" w:type="dxa"/>
        <w:right w:w="115" w:type="dxa"/>
      </w:tblCellMar>
    </w:tblPr>
  </w:style>
  <w:style w:type="table" w:customStyle="1" w:styleId="af6">
    <w:basedOn w:val="TableNormal0"/>
    <w:tblPr>
      <w:tblStyleRowBandSize w:val="1"/>
      <w:tblStyleColBandSize w:val="1"/>
      <w:tblCellMar>
        <w:top w:w="100" w:type="dxa"/>
        <w:left w:w="100" w:type="dxa"/>
        <w:bottom w:w="100" w:type="dxa"/>
        <w:right w:w="100" w:type="dxa"/>
      </w:tblCellMar>
    </w:tblPr>
  </w:style>
  <w:style w:type="table" w:customStyle="1" w:styleId="af7">
    <w:basedOn w:val="TableNormal0"/>
    <w:tblPr>
      <w:tblStyleRowBandSize w:val="1"/>
      <w:tblStyleColBandSize w:val="1"/>
      <w:tblCellMar>
        <w:left w:w="115" w:type="dxa"/>
        <w:right w:w="115" w:type="dxa"/>
      </w:tblCellMar>
    </w:tblPr>
  </w:style>
  <w:style w:type="paragraph" w:customStyle="1" w:styleId="P68B1DB1-Nzev1">
    <w:name w:val="P68B1DB1-Nzev1"/>
    <w:basedOn w:val="Nzev"/>
    <w:rPr>
      <w:rFonts w:ascii="Arial" w:eastAsia="Arial" w:hAnsi="Arial" w:cs="Arial"/>
      <w:sz w:val="22"/>
      <w:szCs w:val="22"/>
    </w:rPr>
  </w:style>
  <w:style w:type="paragraph" w:customStyle="1" w:styleId="P68B1DB1-Normln2">
    <w:name w:val="P68B1DB1-Normln2"/>
    <w:basedOn w:val="Normln"/>
    <w:rPr>
      <w:rFonts w:ascii="Arial" w:eastAsia="Arial" w:hAnsi="Arial" w:cs="Arial"/>
      <w:b/>
    </w:rPr>
  </w:style>
  <w:style w:type="paragraph" w:customStyle="1" w:styleId="P68B1DB1-Normln3">
    <w:name w:val="P68B1DB1-Normln3"/>
    <w:basedOn w:val="Normln"/>
    <w:rPr>
      <w:rFonts w:ascii="Arial" w:eastAsia="Arial" w:hAnsi="Arial" w:cs="Arial"/>
    </w:rPr>
  </w:style>
  <w:style w:type="paragraph" w:customStyle="1" w:styleId="P68B1DB1-Normln4">
    <w:name w:val="P68B1DB1-Normln4"/>
    <w:basedOn w:val="Normln"/>
    <w:rPr>
      <w:rFonts w:ascii="Arial" w:eastAsia="Arial" w:hAnsi="Arial" w:cs="Arial"/>
      <w:color w:val="000000"/>
    </w:rPr>
  </w:style>
  <w:style w:type="paragraph" w:customStyle="1" w:styleId="P68B1DB1-Normln5">
    <w:name w:val="P68B1DB1-Normln5"/>
    <w:basedOn w:val="Normln"/>
    <w:rPr>
      <w:rFonts w:ascii="Arial" w:eastAsia="Arial" w:hAnsi="Arial" w:cs="Arial"/>
      <w:b/>
      <w:color w:val="000000"/>
    </w:rPr>
  </w:style>
  <w:style w:type="paragraph" w:customStyle="1" w:styleId="P68B1DB1-Normln6">
    <w:name w:val="P68B1DB1-Normln6"/>
    <w:basedOn w:val="Normln"/>
    <w:rPr>
      <w:rFonts w:ascii="Arial" w:eastAsia="Arial" w:hAnsi="Arial" w:cs="Arial"/>
      <w:b/>
      <w:highlight w:val="lightGray"/>
    </w:rPr>
  </w:style>
  <w:style w:type="paragraph" w:customStyle="1" w:styleId="P68B1DB1-Normln7">
    <w:name w:val="P68B1DB1-Normln7"/>
    <w:basedOn w:val="Normln"/>
    <w:rPr>
      <w:rFonts w:ascii="Arial" w:eastAsia="Arial" w:hAnsi="Arial" w:cs="Arial"/>
      <w:b/>
      <w:color w:val="000000"/>
      <w:sz w:val="24"/>
      <w:szCs w:val="24"/>
    </w:rPr>
  </w:style>
  <w:style w:type="paragraph" w:customStyle="1" w:styleId="P68B1DB1-Normln8">
    <w:name w:val="P68B1DB1-Normln8"/>
    <w:basedOn w:val="Normln"/>
    <w:rPr>
      <w:rFonts w:ascii="Arial" w:eastAsia="Arial" w:hAnsi="Arial" w:cs="Arial"/>
      <w:b/>
      <w:color w:val="FFFFFF"/>
    </w:rPr>
  </w:style>
  <w:style w:type="paragraph" w:customStyle="1" w:styleId="P68B1DB1-Normln9">
    <w:name w:val="P68B1DB1-Normln9"/>
    <w:basedOn w:val="Normln"/>
    <w:rPr>
      <w:rFonts w:ascii="Arial" w:hAnsi="Arial"/>
    </w:rPr>
  </w:style>
  <w:style w:type="paragraph" w:customStyle="1" w:styleId="P68B1DB1-Normln10">
    <w:name w:val="P68B1DB1-Normln10"/>
    <w:basedOn w:val="Normln"/>
    <w:rPr>
      <w:rFonts w:ascii="Arial" w:eastAsia="Arial" w:hAnsi="Arial" w:cs="Arial"/>
      <w:sz w:val="20"/>
      <w:szCs w:val="20"/>
    </w:rPr>
  </w:style>
  <w:style w:type="paragraph" w:customStyle="1" w:styleId="P68B1DB1-Normln11">
    <w:name w:val="P68B1DB1-Normln11"/>
    <w:basedOn w:val="Normln"/>
    <w:rPr>
      <w:rFonts w:ascii="Arial" w:eastAsia="Arial" w:hAnsi="Arial" w:cs="Arial"/>
      <w:color w:val="000000"/>
      <w:sz w:val="20"/>
      <w:szCs w:val="20"/>
    </w:rPr>
  </w:style>
  <w:style w:type="paragraph" w:customStyle="1" w:styleId="P68B1DB1-Normln12">
    <w:name w:val="P68B1DB1-Normln12"/>
    <w:basedOn w:val="Normln"/>
    <w:rPr>
      <w:color w:val="000000"/>
      <w:sz w:val="20"/>
      <w:szCs w:val="20"/>
    </w:rPr>
  </w:style>
  <w:style w:type="paragraph" w:customStyle="1" w:styleId="P68B1DB1-Normln13">
    <w:name w:val="P68B1DB1-Normln13"/>
    <w:basedOn w:val="Normln"/>
    <w:rPr>
      <w:rFonts w:ascii="Arial" w:eastAsia="Arial" w:hAnsi="Arial" w:cs="Arial"/>
      <w:color w:val="A6A6A6"/>
      <w:sz w:val="20"/>
      <w:szCs w:val="20"/>
    </w:rPr>
  </w:style>
  <w:style w:type="paragraph" w:customStyle="1" w:styleId="P68B1DB1-Normln14">
    <w:name w:val="P68B1DB1-Normln14"/>
    <w:basedOn w:val="Normln"/>
    <w:rPr>
      <w:rFonts w:ascii="Arial" w:eastAsia="Arial" w:hAnsi="Arial" w:cs="Arial"/>
      <w:b/>
      <w:color w:val="A6A6A6"/>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6C9jrVU+/xy9yVEDJRz3cZoFcKA==">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83</TotalTime>
  <Pages>19</Pages>
  <Words>7973</Words>
  <Characters>47046</Characters>
  <Application>Microsoft Office Word</Application>
  <DocSecurity>0</DocSecurity>
  <Lines>392</Lines>
  <Paragraphs>109</Paragraphs>
  <ScaleCrop>false</ScaleCrop>
  <Company/>
  <LinksUpToDate>false</LinksUpToDate>
  <CharactersWithSpaces>54910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Pavel Weikert</dc:creator>
  <cp:lastModifiedBy>Páleník Robert</cp:lastModifiedBy>
  <cp:revision>5</cp:revision>
  <dcterms:created xsi:type="dcterms:W3CDTF">2025-03-05T13:59:00Z</dcterms:created>
  <dcterms:modified xsi:type="dcterms:W3CDTF">2026-02-26T12:28:00Z</dcterms:modified>
</cp:coreProperties>
</file>