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7777777" w:rsidR="00022AF8" w:rsidRDefault="00200FD7" w:rsidP="00D464F5">
      <w:pPr>
        <w:pStyle w:val="Bezmezer"/>
        <w:rPr>
          <w:sz w:val="20"/>
        </w:rPr>
      </w:pPr>
      <w:r w:rsidRPr="00D464F5">
        <w:rPr>
          <w:b/>
        </w:rPr>
        <w:t xml:space="preserve">Příloha č. </w:t>
      </w:r>
      <w:r w:rsidR="00320132" w:rsidRPr="00D464F5">
        <w:rPr>
          <w:b/>
        </w:rPr>
        <w:t>3</w:t>
      </w:r>
      <w:r w:rsidRPr="00A154E3">
        <w:rPr>
          <w:sz w:val="20"/>
        </w:rPr>
        <w:t xml:space="preserve"> </w:t>
      </w:r>
      <w:r w:rsidR="00D464F5">
        <w:rPr>
          <w:sz w:val="20"/>
        </w:rPr>
        <w:t xml:space="preserve"> </w:t>
      </w:r>
      <w:r w:rsidR="00022AF8" w:rsidRPr="00022AF8">
        <w:rPr>
          <w:b/>
        </w:rPr>
        <w:t>zadávacích podmínek</w:t>
      </w:r>
    </w:p>
    <w:p w14:paraId="6D121396" w14:textId="1EFA833A" w:rsidR="00BE1CC3" w:rsidRPr="004E7296" w:rsidRDefault="00BB2A06" w:rsidP="00D464F5">
      <w:pPr>
        <w:pStyle w:val="Bezmezer"/>
        <w:rPr>
          <w:b/>
          <w:sz w:val="28"/>
          <w:szCs w:val="28"/>
          <w:highlight w:val="cyan"/>
        </w:rPr>
      </w:pPr>
      <w:r w:rsidRPr="00DD6D17">
        <w:rPr>
          <w:b/>
          <w:sz w:val="28"/>
          <w:szCs w:val="28"/>
          <w:highlight w:val="cyan"/>
        </w:rPr>
        <w:t>Tabulka pro hodnocení nabídk</w:t>
      </w:r>
      <w:r w:rsidR="00BE1CC3" w:rsidRPr="00DD6D17">
        <w:rPr>
          <w:b/>
          <w:sz w:val="28"/>
          <w:szCs w:val="28"/>
          <w:highlight w:val="cyan"/>
        </w:rPr>
        <w:t>y na veřejnou zakázku na služby „</w:t>
      </w:r>
      <w:r w:rsidR="001271A6" w:rsidRPr="001271A6">
        <w:rPr>
          <w:b/>
          <w:sz w:val="28"/>
          <w:szCs w:val="28"/>
          <w:highlight w:val="cyan"/>
        </w:rPr>
        <w:t>Domov pro seniory Třebíč, Koutkova - Kubešova - Výstavba nového objektu ul. Kubešova - projektová dokumentace</w:t>
      </w:r>
      <w:r w:rsidR="00BE1CC3" w:rsidRPr="00DD6D17">
        <w:rPr>
          <w:b/>
          <w:sz w:val="28"/>
          <w:szCs w:val="28"/>
          <w:highlight w:val="cyan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0D7736A3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 xml:space="preserve">- Nabídková cena </w:t>
      </w:r>
    </w:p>
    <w:p w14:paraId="1DB8F740" w14:textId="3177C2E3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2E09A315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>provádění stavby (</w:t>
      </w:r>
      <w:r w:rsidR="001271A6" w:rsidRPr="001271A6">
        <w:rPr>
          <w:rFonts w:cs="Arial"/>
          <w:b/>
          <w:bCs/>
          <w:szCs w:val="22"/>
        </w:rPr>
        <w:t>objektu) pobytových sociálních služeb</w:t>
      </w:r>
      <w:r w:rsidR="001271A6" w:rsidRPr="001271A6">
        <w:rPr>
          <w:rStyle w:val="Znakapoznpodarou"/>
          <w:rFonts w:cs="Arial"/>
          <w:b/>
          <w:bCs/>
          <w:szCs w:val="22"/>
        </w:rPr>
        <w:footnoteReference w:id="1"/>
      </w:r>
      <w:r w:rsidR="001271A6" w:rsidRPr="001271A6">
        <w:rPr>
          <w:rFonts w:cs="Arial"/>
          <w:b/>
          <w:bCs/>
          <w:szCs w:val="22"/>
        </w:rPr>
        <w:t xml:space="preserve"> nebo budovy pro zdravotnictví kód CZ-CC 1264 dle Klasifikace stavebních děl CZ-CC platné od 1. 1. 2019, v nichž je poskytována lůžková péč</w:t>
      </w:r>
      <w:r w:rsidR="00957BF3">
        <w:rPr>
          <w:rFonts w:cs="Arial"/>
          <w:b/>
          <w:bCs/>
          <w:szCs w:val="22"/>
        </w:rPr>
        <w:t>e</w:t>
      </w:r>
      <w:r w:rsidR="001271A6" w:rsidRPr="001271A6">
        <w:rPr>
          <w:rFonts w:cs="Arial"/>
          <w:b/>
          <w:bCs/>
          <w:szCs w:val="22"/>
        </w:rPr>
        <w:t>, vypracované v souladu s vyhl. č. 499/2006 Sb. či případně pozdější, s vyprojektovanými realizačními náklady</w:t>
      </w:r>
      <w:r w:rsidR="001271A6" w:rsidRPr="00A8062E">
        <w:rPr>
          <w:rFonts w:cs="Arial"/>
          <w:szCs w:val="22"/>
        </w:rPr>
        <w:t xml:space="preserve"> </w:t>
      </w:r>
      <w:r w:rsidR="001271A6" w:rsidRPr="00A8062E">
        <w:rPr>
          <w:rFonts w:cs="Arial"/>
          <w:b/>
          <w:szCs w:val="22"/>
        </w:rPr>
        <w:t>nejméně 300 mil. Kč bez DPH</w:t>
      </w:r>
      <w:r w:rsidR="004E7296" w:rsidRPr="00DD6D17">
        <w:rPr>
          <w:rFonts w:cs="Arial"/>
          <w:b/>
          <w:szCs w:val="22"/>
        </w:rPr>
        <w:t>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03162A9A" w14:textId="2EEA1431" w:rsidR="002268CA" w:rsidRDefault="002268CA" w:rsidP="00AD02F1">
      <w:pPr>
        <w:spacing w:before="60"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1271A6">
        <w:rPr>
          <w:rFonts w:cs="Arial"/>
          <w:bCs/>
          <w:i/>
          <w:color w:val="FF0000"/>
          <w:sz w:val="18"/>
          <w:szCs w:val="18"/>
          <w:u w:val="single"/>
        </w:rPr>
        <w:t xml:space="preserve">Do tohoto počtu </w:t>
      </w:r>
      <w:r w:rsidR="00A154E3" w:rsidRPr="001271A6">
        <w:rPr>
          <w:rFonts w:cs="Arial"/>
          <w:bCs/>
          <w:i/>
          <w:color w:val="FF0000"/>
          <w:sz w:val="18"/>
          <w:szCs w:val="18"/>
          <w:u w:val="single"/>
        </w:rPr>
        <w:t xml:space="preserve">nebude započítán/neuvádějte </w:t>
      </w:r>
      <w:r w:rsidR="006F241F" w:rsidRPr="001271A6">
        <w:rPr>
          <w:rFonts w:cs="Arial"/>
          <w:bCs/>
          <w:i/>
          <w:color w:val="FF0000"/>
          <w:sz w:val="18"/>
          <w:szCs w:val="18"/>
          <w:u w:val="single"/>
        </w:rPr>
        <w:t xml:space="preserve">počet </w:t>
      </w:r>
      <w:r w:rsidR="004E7296" w:rsidRPr="001271A6">
        <w:rPr>
          <w:rFonts w:cs="Arial"/>
          <w:bCs/>
          <w:i/>
          <w:color w:val="FF0000"/>
          <w:sz w:val="18"/>
          <w:szCs w:val="18"/>
          <w:u w:val="single"/>
        </w:rPr>
        <w:t xml:space="preserve">vyhotovených projektových dokumentací pro provádění stavby </w:t>
      </w:r>
      <w:r w:rsidR="001271A6" w:rsidRPr="001271A6">
        <w:rPr>
          <w:rFonts w:cs="Arial"/>
          <w:bCs/>
          <w:i/>
          <w:color w:val="FF0000"/>
          <w:sz w:val="18"/>
          <w:szCs w:val="18"/>
          <w:u w:val="single"/>
        </w:rPr>
        <w:t>(objektu) pobytových sociálních služeb1 nebo budovy pro zdravotnictví kód CZ-CC 1264 dle Klasifikace stavebních děl CZ-CC platné od 1. 1. 2019, v nichž je poskytována lůžková péč</w:t>
      </w:r>
      <w:r w:rsidR="00957BF3">
        <w:rPr>
          <w:rFonts w:cs="Arial"/>
          <w:bCs/>
          <w:i/>
          <w:color w:val="FF0000"/>
          <w:sz w:val="18"/>
          <w:szCs w:val="18"/>
          <w:u w:val="single"/>
        </w:rPr>
        <w:t>e</w:t>
      </w:r>
      <w:r w:rsidR="001271A6" w:rsidRPr="001271A6">
        <w:rPr>
          <w:rFonts w:cs="Arial"/>
          <w:bCs/>
          <w:i/>
          <w:color w:val="FF0000"/>
          <w:sz w:val="18"/>
          <w:szCs w:val="18"/>
          <w:u w:val="single"/>
        </w:rPr>
        <w:t>, vypracované v souladu s vyhl. č. 499/2006 Sb. či případně pozdější, s vyprojektovanými realizačními náklady nejméně 300 mil. Kč bez DPH</w:t>
      </w:r>
      <w:r w:rsidRPr="001271A6">
        <w:rPr>
          <w:rFonts w:cs="Arial"/>
          <w:bCs/>
          <w:i/>
          <w:color w:val="FF0000"/>
          <w:sz w:val="18"/>
          <w:szCs w:val="18"/>
          <w:u w:val="single"/>
        </w:rPr>
        <w:t>, které byly použity pro prokázání technické kvalifikace dle bodu 4.1.3. písm. B těchto zadávacích podmínek.</w:t>
      </w:r>
    </w:p>
    <w:p w14:paraId="6AF702F0" w14:textId="77777777" w:rsidR="00AD02F1" w:rsidRDefault="00AD02F1" w:rsidP="00AD02F1">
      <w:pPr>
        <w:pStyle w:val="Nadpis2"/>
        <w:numPr>
          <w:ilvl w:val="0"/>
          <w:numId w:val="0"/>
        </w:numPr>
        <w:rPr>
          <w:rFonts w:cs="Arial"/>
          <w:b w:val="0"/>
          <w:bCs/>
          <w:i/>
          <w:sz w:val="18"/>
          <w:szCs w:val="18"/>
          <w:u w:val="single"/>
        </w:rPr>
      </w:pPr>
    </w:p>
    <w:p w14:paraId="7D62E5B9" w14:textId="0E9AFD60" w:rsidR="00AD02F1" w:rsidRPr="00481713" w:rsidRDefault="00AD02F1" w:rsidP="00AD02F1">
      <w:pPr>
        <w:pStyle w:val="Nadpis2"/>
        <w:numPr>
          <w:ilvl w:val="0"/>
          <w:numId w:val="0"/>
        </w:numPr>
        <w:rPr>
          <w:sz w:val="24"/>
          <w:szCs w:val="24"/>
        </w:rPr>
      </w:pPr>
      <w:r w:rsidRPr="00947619">
        <w:rPr>
          <w:bCs/>
          <w:color w:val="0000DC"/>
          <w:sz w:val="24"/>
          <w:szCs w:val="24"/>
        </w:rPr>
        <w:t>Metoda vyhodnocení nabídek a vztah mezi kritérii</w:t>
      </w:r>
    </w:p>
    <w:p w14:paraId="5613E0F8" w14:textId="77777777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V rámci hodnocení této zakázky je využit tzv. bonusový způsob hodnocení zakázek, kdy se cena a ostatní kritéria nepřepočítávají na body, ale na koruny. </w:t>
      </w:r>
    </w:p>
    <w:p w14:paraId="53AA602F" w14:textId="7FDC6DF3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V rámci bonusového způsobu hodnocení jsou nabídky porovnány mezi sebou dle ceny stanovené pouze pro účely hodnocení nabídek (dále jen </w:t>
      </w:r>
      <w:r w:rsidRPr="00481713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nabídková cena pro účely hodnocení</w:t>
      </w:r>
      <w:r w:rsidRPr="00426EE0">
        <w:rPr>
          <w:b/>
          <w:bCs/>
          <w:sz w:val="22"/>
          <w:szCs w:val="22"/>
        </w:rPr>
        <w:t>“</w:t>
      </w:r>
      <w:r w:rsidRPr="00426EE0">
        <w:rPr>
          <w:sz w:val="22"/>
          <w:szCs w:val="22"/>
        </w:rPr>
        <w:t xml:space="preserve">). Tato </w:t>
      </w:r>
      <w:r>
        <w:rPr>
          <w:sz w:val="22"/>
          <w:szCs w:val="22"/>
        </w:rPr>
        <w:t>nabídková cena pro účely hodnocení</w:t>
      </w:r>
      <w:r w:rsidRPr="00481713">
        <w:rPr>
          <w:sz w:val="22"/>
          <w:szCs w:val="22"/>
        </w:rPr>
        <w:t xml:space="preserve"> je abstrakt</w:t>
      </w:r>
      <w:r w:rsidRPr="00642F71">
        <w:rPr>
          <w:sz w:val="22"/>
          <w:szCs w:val="22"/>
        </w:rPr>
        <w:t xml:space="preserve">ní a bude vypočtena tak, že od </w:t>
      </w:r>
      <w:r>
        <w:rPr>
          <w:sz w:val="22"/>
          <w:szCs w:val="22"/>
        </w:rPr>
        <w:t>n</w:t>
      </w:r>
      <w:r w:rsidRPr="00481713">
        <w:rPr>
          <w:sz w:val="22"/>
          <w:szCs w:val="22"/>
        </w:rPr>
        <w:t xml:space="preserve">abídkové ceny účastníka </w:t>
      </w:r>
      <w:r>
        <w:rPr>
          <w:sz w:val="22"/>
          <w:szCs w:val="22"/>
        </w:rPr>
        <w:t xml:space="preserve">řízení </w:t>
      </w:r>
      <w:r w:rsidRPr="00481713">
        <w:rPr>
          <w:sz w:val="22"/>
          <w:szCs w:val="22"/>
        </w:rPr>
        <w:t xml:space="preserve">bude odečtena bonusová hodnota za každou uvedenou </w:t>
      </w:r>
      <w:r>
        <w:rPr>
          <w:sz w:val="22"/>
          <w:szCs w:val="22"/>
        </w:rPr>
        <w:t xml:space="preserve">zkušenost hlavního inženýra projektu </w:t>
      </w:r>
      <w:r w:rsidRPr="00947619">
        <w:rPr>
          <w:sz w:val="22"/>
          <w:szCs w:val="22"/>
        </w:rPr>
        <w:t xml:space="preserve">s </w:t>
      </w:r>
      <w:r w:rsidRPr="00096C98">
        <w:rPr>
          <w:b/>
          <w:sz w:val="22"/>
          <w:szCs w:val="22"/>
        </w:rPr>
        <w:t xml:space="preserve">vyhotovením projektové dokumentace pro provádění stavby </w:t>
      </w:r>
      <w:r w:rsidR="001271A6" w:rsidRPr="001271A6">
        <w:rPr>
          <w:b/>
          <w:bCs/>
          <w:sz w:val="22"/>
          <w:szCs w:val="22"/>
          <w:u w:val="single"/>
        </w:rPr>
        <w:t>(objektu) pobytových sociálních služeb</w:t>
      </w:r>
      <w:r w:rsidR="001271A6" w:rsidRPr="001271A6">
        <w:rPr>
          <w:b/>
          <w:bCs/>
          <w:sz w:val="22"/>
          <w:szCs w:val="22"/>
          <w:u w:val="single"/>
          <w:vertAlign w:val="superscript"/>
        </w:rPr>
        <w:t>1</w:t>
      </w:r>
      <w:r w:rsidR="001271A6" w:rsidRPr="001271A6">
        <w:rPr>
          <w:b/>
          <w:bCs/>
          <w:sz w:val="22"/>
          <w:szCs w:val="22"/>
          <w:u w:val="single"/>
        </w:rPr>
        <w:t xml:space="preserve"> nebo budovy pro zdravotnictví kód CZ-CC 1264 dle Klasifikace stavebních děl CZ-CC platné od 1. 1. 2019, v nichž je poskytována lůžková péč</w:t>
      </w:r>
      <w:r w:rsidR="00957BF3">
        <w:rPr>
          <w:b/>
          <w:bCs/>
          <w:sz w:val="22"/>
          <w:szCs w:val="22"/>
          <w:u w:val="single"/>
        </w:rPr>
        <w:t>e</w:t>
      </w:r>
      <w:r w:rsidR="001271A6" w:rsidRPr="001271A6">
        <w:rPr>
          <w:b/>
          <w:bCs/>
          <w:sz w:val="22"/>
          <w:szCs w:val="22"/>
          <w:u w:val="single"/>
        </w:rPr>
        <w:t>, vypracované v souladu s vyhl. č. 499/2006 Sb. či případně pozdější, s vyprojektovanými realizačními náklady nejméně 300 mil. Kč bez DPH</w:t>
      </w:r>
      <w:r w:rsidRPr="00096C98">
        <w:rPr>
          <w:sz w:val="22"/>
          <w:szCs w:val="22"/>
        </w:rPr>
        <w:t xml:space="preserve">, a tímto bude účastník </w:t>
      </w:r>
      <w:r>
        <w:rPr>
          <w:sz w:val="22"/>
          <w:szCs w:val="22"/>
        </w:rPr>
        <w:t xml:space="preserve">řízení v rámci hodnocení </w:t>
      </w:r>
      <w:r w:rsidRPr="00481713">
        <w:rPr>
          <w:sz w:val="22"/>
          <w:szCs w:val="22"/>
        </w:rPr>
        <w:t xml:space="preserve">zvýhodněn oproti účastníkovi, který nedisponuje požadovanými zkušenostmi. Tento bude hodnocen dle Nabídkové ceny, která bude zároveň </w:t>
      </w:r>
      <w:r>
        <w:rPr>
          <w:sz w:val="22"/>
          <w:szCs w:val="22"/>
        </w:rPr>
        <w:t xml:space="preserve">nabídkovou cenou pro </w:t>
      </w:r>
      <w:r w:rsidR="005D01B0">
        <w:rPr>
          <w:sz w:val="22"/>
          <w:szCs w:val="22"/>
        </w:rPr>
        <w:t>účely</w:t>
      </w:r>
      <w:r>
        <w:rPr>
          <w:sz w:val="22"/>
          <w:szCs w:val="22"/>
        </w:rPr>
        <w:t xml:space="preserve"> hodnocení</w:t>
      </w:r>
      <w:r w:rsidRPr="00481713">
        <w:rPr>
          <w:sz w:val="22"/>
          <w:szCs w:val="22"/>
        </w:rPr>
        <w:t xml:space="preserve">. </w:t>
      </w:r>
    </w:p>
    <w:p w14:paraId="4A38DFF6" w14:textId="452879B4" w:rsidR="00AD02F1" w:rsidRPr="00481713" w:rsidRDefault="00AD02F1" w:rsidP="00AD02F1">
      <w:pPr>
        <w:pStyle w:val="Default"/>
        <w:jc w:val="both"/>
        <w:rPr>
          <w:sz w:val="22"/>
          <w:szCs w:val="22"/>
        </w:rPr>
      </w:pPr>
      <w:r w:rsidRPr="00481713">
        <w:rPr>
          <w:sz w:val="22"/>
          <w:szCs w:val="22"/>
        </w:rPr>
        <w:t xml:space="preserve">Bonusová hodnota jedné zkušenosti </w:t>
      </w:r>
      <w:r w:rsidRPr="00947619">
        <w:rPr>
          <w:sz w:val="22"/>
          <w:szCs w:val="22"/>
        </w:rPr>
        <w:t xml:space="preserve">s </w:t>
      </w:r>
      <w:r w:rsidRPr="00481713">
        <w:rPr>
          <w:b/>
          <w:sz w:val="22"/>
          <w:szCs w:val="22"/>
          <w:u w:val="single"/>
        </w:rPr>
        <w:t xml:space="preserve">vyhotovením projektové dokumentace pro provádění stavby </w:t>
      </w:r>
      <w:r w:rsidR="001271A6" w:rsidRPr="001271A6">
        <w:rPr>
          <w:b/>
          <w:bCs/>
          <w:sz w:val="22"/>
          <w:szCs w:val="22"/>
          <w:u w:val="single"/>
        </w:rPr>
        <w:t>(objektu) pobytových sociálních služeb</w:t>
      </w:r>
      <w:r w:rsidR="001271A6" w:rsidRPr="001271A6">
        <w:rPr>
          <w:b/>
          <w:bCs/>
          <w:sz w:val="22"/>
          <w:szCs w:val="22"/>
          <w:u w:val="single"/>
          <w:vertAlign w:val="superscript"/>
        </w:rPr>
        <w:t>1</w:t>
      </w:r>
      <w:r w:rsidR="001271A6" w:rsidRPr="001271A6">
        <w:rPr>
          <w:b/>
          <w:bCs/>
          <w:sz w:val="22"/>
          <w:szCs w:val="22"/>
          <w:u w:val="single"/>
        </w:rPr>
        <w:t xml:space="preserve"> nebo budovy pro zdravotnictví kód CZ-CC 1264 dle Klasifikace stavebních děl CZ-CC platné od 1. 1. 2019, v nichž je poskytována lůžková péč</w:t>
      </w:r>
      <w:r w:rsidR="00957BF3">
        <w:rPr>
          <w:b/>
          <w:bCs/>
          <w:sz w:val="22"/>
          <w:szCs w:val="22"/>
          <w:u w:val="single"/>
        </w:rPr>
        <w:t>e</w:t>
      </w:r>
      <w:r w:rsidR="001271A6" w:rsidRPr="001271A6">
        <w:rPr>
          <w:b/>
          <w:bCs/>
          <w:sz w:val="22"/>
          <w:szCs w:val="22"/>
          <w:u w:val="single"/>
        </w:rPr>
        <w:t>, vypracované v souladu s vyhl. č. 499/2006 Sb. či případně pozdější, s vyprojektovanými realizačními náklady nejméně 300 mil. Kč bez DPH</w:t>
      </w:r>
      <w:r>
        <w:rPr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</w:t>
      </w:r>
      <w:r w:rsidRPr="00481713">
        <w:rPr>
          <w:sz w:val="22"/>
          <w:szCs w:val="22"/>
        </w:rPr>
        <w:t xml:space="preserve">činí </w:t>
      </w:r>
      <w:r w:rsidRPr="00481713">
        <w:rPr>
          <w:b/>
          <w:sz w:val="22"/>
          <w:szCs w:val="22"/>
        </w:rPr>
        <w:t xml:space="preserve">800 000,- Kč </w:t>
      </w:r>
      <w:r>
        <w:rPr>
          <w:b/>
          <w:sz w:val="22"/>
          <w:szCs w:val="22"/>
        </w:rPr>
        <w:t>bez</w:t>
      </w:r>
      <w:r w:rsidRPr="00481713">
        <w:rPr>
          <w:b/>
          <w:sz w:val="22"/>
          <w:szCs w:val="22"/>
        </w:rPr>
        <w:t xml:space="preserve"> DPH</w:t>
      </w:r>
      <w:r w:rsidRPr="00481713">
        <w:rPr>
          <w:sz w:val="22"/>
          <w:szCs w:val="22"/>
        </w:rPr>
        <w:t xml:space="preserve">. </w:t>
      </w:r>
    </w:p>
    <w:p w14:paraId="772C6671" w14:textId="02F4C7FF" w:rsidR="00AD02F1" w:rsidRPr="002268CA" w:rsidRDefault="00AD02F1" w:rsidP="00AD02F1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81713">
        <w:rPr>
          <w:szCs w:val="22"/>
        </w:rPr>
        <w:t xml:space="preserve">Ekonomicky nejvýhodnější nabídkou bude ta, která bude mít nejnižší </w:t>
      </w:r>
      <w:r w:rsidRPr="00096C98">
        <w:rPr>
          <w:szCs w:val="22"/>
        </w:rPr>
        <w:t>nabídkovou</w:t>
      </w:r>
      <w:r w:rsidRPr="00426EE0">
        <w:rPr>
          <w:szCs w:val="22"/>
        </w:rPr>
        <w:t xml:space="preserve"> cenu pro účely hodnocení</w:t>
      </w:r>
      <w:r w:rsidRPr="00481713">
        <w:rPr>
          <w:szCs w:val="22"/>
        </w:rPr>
        <w:t>.</w:t>
      </w:r>
      <w:r w:rsidRPr="00096C98">
        <w:rPr>
          <w:szCs w:val="22"/>
        </w:rPr>
        <w:t xml:space="preserve"> </w:t>
      </w:r>
      <w:r w:rsidRPr="00481713">
        <w:rPr>
          <w:szCs w:val="22"/>
        </w:rPr>
        <w:t>Nabídková cena pro účely hodnocení slouží pouze pro účely hodnocení nabídek! Nabídková cena účastníka řízení se nemění. S vybraným účastníkem řízení bude uzavřena smlouva s nabídkovou cenu, kterou uvedl ve své nabídce.</w:t>
      </w:r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AD02F1">
        <w:trPr>
          <w:trHeight w:hRule="exact" w:val="845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AD02F1">
            <w:pPr>
              <w:widowControl w:val="0"/>
              <w:spacing w:line="0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AD02F1">
            <w:pPr>
              <w:widowControl w:val="0"/>
              <w:spacing w:line="0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C36E" w14:textId="77777777" w:rsidR="00067CED" w:rsidRDefault="00067CED">
      <w:r>
        <w:separator/>
      </w:r>
    </w:p>
  </w:endnote>
  <w:endnote w:type="continuationSeparator" w:id="0">
    <w:p w14:paraId="3B9CDC13" w14:textId="77777777" w:rsidR="00067CED" w:rsidRDefault="0006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C631" w14:textId="77777777" w:rsidR="00067CED" w:rsidRDefault="00067CED">
      <w:r>
        <w:separator/>
      </w:r>
    </w:p>
  </w:footnote>
  <w:footnote w:type="continuationSeparator" w:id="0">
    <w:p w14:paraId="6FB9F92C" w14:textId="77777777" w:rsidR="00067CED" w:rsidRDefault="00067CED">
      <w:r>
        <w:continuationSeparator/>
      </w:r>
    </w:p>
  </w:footnote>
  <w:footnote w:id="1">
    <w:p w14:paraId="27FBE165" w14:textId="77777777" w:rsidR="001271A6" w:rsidRDefault="001271A6" w:rsidP="001271A6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6C1E1A">
        <w:rPr>
          <w:rFonts w:cs="Arial"/>
        </w:rPr>
        <w:t>služby definovány v zákoně č. 108/2006 Sb. –  jde tedy např. o domovy pro seniory, domovy se zvláštním režimem, domovy pro osoby se zdravotním postižením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014716809">
    <w:abstractNumId w:val="3"/>
  </w:num>
  <w:num w:numId="2" w16cid:durableId="1704089361">
    <w:abstractNumId w:val="1"/>
  </w:num>
  <w:num w:numId="3" w16cid:durableId="190922060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46FF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67CED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0F755E"/>
    <w:rsid w:val="00100B21"/>
    <w:rsid w:val="0010291D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271A6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AB4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68E"/>
    <w:rsid w:val="002F0DB4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3E8B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526C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330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01B0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A0A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1656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57BF3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46DC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D53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02F1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7E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396A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183A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D6D17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3186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2193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3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3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3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3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2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2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2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061E17-D2DF-4545-B587-6172E399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6313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6</cp:revision>
  <cp:lastPrinted>2022-06-07T10:06:00Z</cp:lastPrinted>
  <dcterms:created xsi:type="dcterms:W3CDTF">2025-09-24T09:00:00Z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