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AB" w:rsidRPr="007912F3" w:rsidRDefault="00923DAB">
      <w:pPr>
        <w:pStyle w:val="Zkladntext20"/>
        <w:shd w:val="clear" w:color="auto" w:fill="auto"/>
        <w:spacing w:before="0" w:after="114" w:line="243" w:lineRule="exact"/>
        <w:ind w:left="560" w:right="840"/>
        <w:jc w:val="left"/>
        <w:rPr>
          <w:rFonts w:asciiTheme="minorHAnsi" w:hAnsiTheme="minorHAnsi" w:cstheme="minorHAnsi"/>
          <w:sz w:val="20"/>
          <w:szCs w:val="20"/>
        </w:rPr>
      </w:pPr>
      <w:r w:rsidRPr="007912F3">
        <w:rPr>
          <w:rFonts w:asciiTheme="minorHAnsi" w:hAnsiTheme="minorHAnsi" w:cstheme="minorHAnsi"/>
          <w:sz w:val="20"/>
          <w:szCs w:val="20"/>
        </w:rPr>
        <w:t>Příloha č. 1</w:t>
      </w:r>
    </w:p>
    <w:p w:rsidR="00923DAB" w:rsidRPr="007912F3" w:rsidRDefault="00923DAB">
      <w:pPr>
        <w:pStyle w:val="Zkladntext20"/>
        <w:shd w:val="clear" w:color="auto" w:fill="auto"/>
        <w:spacing w:before="0" w:after="114" w:line="243" w:lineRule="exact"/>
        <w:ind w:left="560" w:right="840"/>
        <w:jc w:val="left"/>
        <w:rPr>
          <w:rFonts w:asciiTheme="minorHAnsi" w:hAnsiTheme="minorHAnsi" w:cstheme="minorHAnsi"/>
        </w:rPr>
      </w:pPr>
    </w:p>
    <w:p w:rsidR="00C5153F" w:rsidRPr="007912F3" w:rsidRDefault="00C5153F">
      <w:pPr>
        <w:pStyle w:val="Zkladntext20"/>
        <w:shd w:val="clear" w:color="auto" w:fill="auto"/>
        <w:spacing w:before="0" w:after="114" w:line="243" w:lineRule="exact"/>
        <w:ind w:left="560" w:right="840"/>
        <w:jc w:val="left"/>
        <w:rPr>
          <w:rFonts w:asciiTheme="minorHAnsi" w:hAnsiTheme="minorHAnsi" w:cstheme="minorHAnsi"/>
          <w:b/>
          <w:sz w:val="24"/>
          <w:szCs w:val="24"/>
        </w:rPr>
      </w:pPr>
      <w:r w:rsidRPr="007912F3">
        <w:rPr>
          <w:rFonts w:asciiTheme="minorHAnsi" w:hAnsiTheme="minorHAnsi" w:cstheme="minorHAnsi"/>
          <w:b/>
          <w:sz w:val="24"/>
          <w:szCs w:val="24"/>
        </w:rPr>
        <w:t>Nákladní automobil pro výcvik autoškoly</w:t>
      </w:r>
      <w:r w:rsidR="000973EA" w:rsidRPr="007912F3">
        <w:rPr>
          <w:rFonts w:asciiTheme="minorHAnsi" w:hAnsiTheme="minorHAnsi" w:cstheme="minorHAnsi"/>
          <w:b/>
          <w:sz w:val="24"/>
          <w:szCs w:val="24"/>
        </w:rPr>
        <w:t>.</w:t>
      </w:r>
    </w:p>
    <w:p w:rsidR="000973EA" w:rsidRPr="007912F3" w:rsidRDefault="000973EA">
      <w:pPr>
        <w:pStyle w:val="Zkladntext20"/>
        <w:shd w:val="clear" w:color="auto" w:fill="auto"/>
        <w:spacing w:before="0" w:after="114" w:line="243" w:lineRule="exact"/>
        <w:ind w:left="560" w:right="840"/>
        <w:jc w:val="left"/>
        <w:rPr>
          <w:rFonts w:asciiTheme="minorHAnsi" w:hAnsiTheme="minorHAnsi" w:cstheme="minorHAnsi"/>
          <w:b/>
          <w:sz w:val="24"/>
          <w:szCs w:val="24"/>
        </w:rPr>
      </w:pPr>
    </w:p>
    <w:p w:rsidR="005D222D" w:rsidRPr="007912F3" w:rsidRDefault="006C45FD">
      <w:pPr>
        <w:pStyle w:val="Zkladntext20"/>
        <w:shd w:val="clear" w:color="auto" w:fill="auto"/>
        <w:spacing w:before="0" w:after="114" w:line="243" w:lineRule="exact"/>
        <w:ind w:left="560" w:right="840"/>
        <w:jc w:val="left"/>
        <w:rPr>
          <w:rFonts w:asciiTheme="minorHAnsi" w:hAnsiTheme="minorHAnsi" w:cstheme="minorHAnsi"/>
          <w:b/>
          <w:sz w:val="24"/>
          <w:szCs w:val="24"/>
          <w:u w:val="single"/>
        </w:rPr>
      </w:pPr>
      <w:r w:rsidRPr="007912F3">
        <w:rPr>
          <w:rFonts w:asciiTheme="minorHAnsi" w:hAnsiTheme="minorHAnsi" w:cstheme="minorHAnsi"/>
          <w:b/>
          <w:sz w:val="24"/>
          <w:szCs w:val="24"/>
          <w:u w:val="single"/>
        </w:rPr>
        <w:t>Základní specifikace:</w:t>
      </w:r>
    </w:p>
    <w:p w:rsidR="001050E8" w:rsidRPr="007912F3" w:rsidRDefault="001050E8">
      <w:pPr>
        <w:pStyle w:val="Zkladntext20"/>
        <w:shd w:val="clear" w:color="auto" w:fill="auto"/>
        <w:spacing w:before="0" w:after="114" w:line="243" w:lineRule="exact"/>
        <w:ind w:left="560" w:right="840"/>
        <w:jc w:val="left"/>
        <w:rPr>
          <w:rFonts w:asciiTheme="minorHAnsi" w:hAnsiTheme="minorHAnsi" w:cstheme="minorHAnsi"/>
          <w:b/>
        </w:rPr>
      </w:pPr>
    </w:p>
    <w:p w:rsidR="001050E8" w:rsidRPr="00C86733" w:rsidRDefault="001050E8" w:rsidP="00B5041B">
      <w:pPr>
        <w:pStyle w:val="Zkladntext20"/>
        <w:numPr>
          <w:ilvl w:val="0"/>
          <w:numId w:val="2"/>
        </w:numPr>
        <w:shd w:val="clear" w:color="auto" w:fill="auto"/>
        <w:spacing w:before="0" w:after="114" w:line="243" w:lineRule="exact"/>
        <w:ind w:left="284" w:right="840"/>
        <w:jc w:val="left"/>
        <w:rPr>
          <w:rFonts w:asciiTheme="minorHAnsi" w:hAnsiTheme="minorHAnsi" w:cstheme="minorHAnsi"/>
          <w:sz w:val="24"/>
          <w:szCs w:val="24"/>
        </w:rPr>
      </w:pPr>
      <w:r w:rsidRPr="00C86733">
        <w:rPr>
          <w:rFonts w:asciiTheme="minorHAnsi" w:hAnsiTheme="minorHAnsi" w:cstheme="minorHAnsi"/>
          <w:sz w:val="24"/>
          <w:szCs w:val="24"/>
        </w:rPr>
        <w:t>Nákladní automobil musí splňovat požadavky zák. 247/200 Sb.</w:t>
      </w:r>
      <w:r w:rsidRPr="007912F3">
        <w:rPr>
          <w:rFonts w:asciiTheme="minorHAnsi" w:hAnsiTheme="minorHAnsi" w:cstheme="minorHAnsi"/>
          <w:i/>
          <w:iCs/>
          <w:color w:val="070707"/>
          <w:sz w:val="24"/>
          <w:szCs w:val="24"/>
          <w:shd w:val="clear" w:color="auto" w:fill="FFFFFF"/>
        </w:rPr>
        <w:t xml:space="preserve"> o získávání a zdokonalování odborné způsobilosti k řízení motorových vozidel a o změnách některých zákonů</w:t>
      </w:r>
      <w:r w:rsidRPr="00C86733">
        <w:rPr>
          <w:rFonts w:asciiTheme="minorHAnsi" w:hAnsiTheme="minorHAnsi" w:cstheme="minorHAnsi"/>
          <w:sz w:val="24"/>
          <w:szCs w:val="24"/>
        </w:rPr>
        <w:t xml:space="preserve">, přílohy č. II., písm. </w:t>
      </w:r>
      <w:r w:rsidR="000973EA" w:rsidRPr="00C86733">
        <w:rPr>
          <w:rFonts w:asciiTheme="minorHAnsi" w:hAnsiTheme="minorHAnsi" w:cstheme="minorHAnsi"/>
          <w:sz w:val="24"/>
          <w:szCs w:val="24"/>
        </w:rPr>
        <w:t>j</w:t>
      </w:r>
      <w:r w:rsidRPr="00C86733">
        <w:rPr>
          <w:rFonts w:asciiTheme="minorHAnsi" w:hAnsiTheme="minorHAnsi" w:cstheme="minorHAnsi"/>
          <w:sz w:val="24"/>
          <w:szCs w:val="24"/>
        </w:rPr>
        <w:t xml:space="preserve">), </w:t>
      </w:r>
      <w:r w:rsidR="000973EA" w:rsidRPr="00C86733">
        <w:rPr>
          <w:rFonts w:asciiTheme="minorHAnsi" w:hAnsiTheme="minorHAnsi" w:cstheme="minorHAnsi"/>
          <w:sz w:val="24"/>
          <w:szCs w:val="24"/>
        </w:rPr>
        <w:t>k</w:t>
      </w:r>
      <w:r w:rsidRPr="00C86733">
        <w:rPr>
          <w:rFonts w:asciiTheme="minorHAnsi" w:hAnsiTheme="minorHAnsi" w:cstheme="minorHAnsi"/>
          <w:sz w:val="24"/>
          <w:szCs w:val="24"/>
        </w:rPr>
        <w:t>):</w:t>
      </w:r>
    </w:p>
    <w:p w:rsidR="001050E8" w:rsidRPr="007912F3" w:rsidRDefault="001050E8" w:rsidP="00B5041B">
      <w:pPr>
        <w:pStyle w:val="l3"/>
        <w:spacing w:before="0" w:beforeAutospacing="0" w:after="0" w:afterAutospacing="0"/>
        <w:ind w:left="426"/>
        <w:rPr>
          <w:rFonts w:asciiTheme="minorHAnsi" w:hAnsiTheme="minorHAnsi" w:cstheme="minorHAnsi"/>
          <w:color w:val="000000"/>
          <w:sz w:val="22"/>
          <w:szCs w:val="22"/>
        </w:rPr>
      </w:pPr>
      <w:r w:rsidRPr="007912F3">
        <w:rPr>
          <w:rStyle w:val="PromnnHTML"/>
          <w:rFonts w:asciiTheme="minorHAnsi" w:eastAsia="Calibri" w:hAnsiTheme="minorHAnsi" w:cstheme="minorHAnsi"/>
          <w:b/>
          <w:bCs/>
          <w:i w:val="0"/>
          <w:iCs w:val="0"/>
          <w:color w:val="000000"/>
          <w:sz w:val="22"/>
          <w:szCs w:val="22"/>
        </w:rPr>
        <w:t>j)</w:t>
      </w:r>
      <w:r w:rsidRPr="007912F3">
        <w:rPr>
          <w:rFonts w:asciiTheme="minorHAnsi" w:hAnsiTheme="minorHAnsi" w:cstheme="minorHAnsi"/>
          <w:color w:val="000000"/>
          <w:sz w:val="22"/>
          <w:szCs w:val="22"/>
        </w:rPr>
        <w:t> pro skupinu C s motorovým vozidlem o největší povolené hmotnosti nejméně 12000 kg, délce nejméně 8 m, šířce nejméně 2,4 m a jehož konstrukční rychlost je nejméně 80 km.h</w:t>
      </w:r>
      <w:r w:rsidRPr="007912F3">
        <w:rPr>
          <w:rFonts w:asciiTheme="minorHAnsi" w:hAnsiTheme="minorHAnsi" w:cstheme="minorHAnsi"/>
          <w:color w:val="000000"/>
          <w:sz w:val="22"/>
          <w:szCs w:val="22"/>
          <w:vertAlign w:val="superscript"/>
        </w:rPr>
        <w:t>-1</w:t>
      </w:r>
      <w:r w:rsidRPr="007912F3">
        <w:rPr>
          <w:rFonts w:asciiTheme="minorHAnsi" w:hAnsiTheme="minorHAnsi" w:cstheme="minorHAnsi"/>
          <w:color w:val="000000"/>
          <w:sz w:val="22"/>
          <w:szCs w:val="22"/>
        </w:rPr>
        <w:t>; nástavba vozidla musí být uzavřeným skříňovým tělesem, které je nejméně tak široké a vysoké jako kabina, vytvořeným uzavřenou nebo ložnou plochou s plachtou na vestavěné konstrukci, které neumožňují výhled řidiče za vozidlo jinak než prostřednictvím bočních zpětných zrcátek; motorové vozidlo musí být vybaveno protiblokovacím brzdovým systémem a záznamovým zařízením podle přímo použitelného předpisu Evropské unie</w:t>
      </w:r>
      <w:hyperlink r:id="rId7" w:anchor="f4371867" w:history="1">
        <w:r w:rsidRPr="007912F3">
          <w:rPr>
            <w:rStyle w:val="Hypertextovodkaz"/>
            <w:rFonts w:asciiTheme="minorHAnsi" w:hAnsiTheme="minorHAnsi" w:cstheme="minorHAnsi"/>
            <w:b/>
            <w:bCs/>
            <w:color w:val="05507A"/>
            <w:sz w:val="22"/>
            <w:szCs w:val="22"/>
            <w:vertAlign w:val="superscript"/>
          </w:rPr>
          <w:t>11</w:t>
        </w:r>
        <w:r w:rsidRPr="007912F3">
          <w:rPr>
            <w:rStyle w:val="Hypertextovodkaz"/>
            <w:rFonts w:asciiTheme="minorHAnsi" w:hAnsiTheme="minorHAnsi" w:cstheme="minorHAnsi"/>
            <w:b/>
            <w:bCs/>
            <w:color w:val="05507A"/>
            <w:sz w:val="22"/>
            <w:szCs w:val="22"/>
          </w:rPr>
          <w:t>)</w:t>
        </w:r>
      </w:hyperlink>
      <w:r w:rsidRPr="007912F3">
        <w:rPr>
          <w:rFonts w:asciiTheme="minorHAnsi" w:hAnsiTheme="minorHAnsi" w:cstheme="minorHAnsi"/>
          <w:color w:val="000000"/>
          <w:sz w:val="22"/>
          <w:szCs w:val="22"/>
        </w:rPr>
        <w:t> a převodovkou umožňující ruční řazení převodových stupňů. Při zkoušce z praktické jízdy musí být okamžitá hmotnost vozidla nejméně 10000 kg,</w:t>
      </w:r>
    </w:p>
    <w:p w:rsidR="000973EA" w:rsidRPr="007912F3" w:rsidRDefault="000973EA" w:rsidP="00B5041B">
      <w:pPr>
        <w:pStyle w:val="l3"/>
        <w:spacing w:before="0" w:beforeAutospacing="0" w:after="0" w:afterAutospacing="0"/>
        <w:ind w:left="426"/>
        <w:rPr>
          <w:rFonts w:asciiTheme="minorHAnsi" w:hAnsiTheme="minorHAnsi" w:cstheme="minorHAnsi"/>
          <w:color w:val="000000"/>
          <w:sz w:val="22"/>
          <w:szCs w:val="22"/>
        </w:rPr>
      </w:pPr>
    </w:p>
    <w:p w:rsidR="001050E8" w:rsidRPr="007912F3" w:rsidRDefault="001050E8" w:rsidP="00B5041B">
      <w:pPr>
        <w:pStyle w:val="l3"/>
        <w:spacing w:before="0" w:beforeAutospacing="0" w:after="0" w:afterAutospacing="0"/>
        <w:ind w:left="426"/>
        <w:rPr>
          <w:rFonts w:asciiTheme="minorHAnsi" w:hAnsiTheme="minorHAnsi" w:cstheme="minorHAnsi"/>
          <w:color w:val="000000"/>
          <w:sz w:val="22"/>
          <w:szCs w:val="22"/>
        </w:rPr>
      </w:pPr>
      <w:r w:rsidRPr="007912F3">
        <w:rPr>
          <w:rStyle w:val="PromnnHTML"/>
          <w:rFonts w:asciiTheme="minorHAnsi" w:eastAsia="Calibri" w:hAnsiTheme="minorHAnsi" w:cstheme="minorHAnsi"/>
          <w:b/>
          <w:bCs/>
          <w:i w:val="0"/>
          <w:iCs w:val="0"/>
          <w:color w:val="000000"/>
          <w:sz w:val="22"/>
          <w:szCs w:val="22"/>
        </w:rPr>
        <w:t>k)</w:t>
      </w:r>
      <w:r w:rsidRPr="007912F3">
        <w:rPr>
          <w:rFonts w:asciiTheme="minorHAnsi" w:hAnsiTheme="minorHAnsi" w:cstheme="minorHAnsi"/>
          <w:color w:val="000000"/>
          <w:sz w:val="22"/>
          <w:szCs w:val="22"/>
        </w:rPr>
        <w:t> pro skupinu C+E s jízdní soupravou tvořenou buďto motorovým vozidlem uvedeným v písmenu j) a přípojným vozidlem nebo tahačem s návěsem, přičemž největší povolená hmotnost jízdní soupravy je nejméně 20000 kg, délka jízdní soupravy je nejméně 14 m, délka přípojného vozidla musí být nejméně 7,5 m, šířka jízdní soupravy je nejméně 2,4 m a konstrukční rychlost je nejméně 80 km.h</w:t>
      </w:r>
      <w:r w:rsidRPr="007912F3">
        <w:rPr>
          <w:rFonts w:asciiTheme="minorHAnsi" w:hAnsiTheme="minorHAnsi" w:cstheme="minorHAnsi"/>
          <w:color w:val="000000"/>
          <w:sz w:val="22"/>
          <w:szCs w:val="22"/>
          <w:vertAlign w:val="superscript"/>
        </w:rPr>
        <w:t>-1</w:t>
      </w:r>
      <w:r w:rsidRPr="007912F3">
        <w:rPr>
          <w:rFonts w:asciiTheme="minorHAnsi" w:hAnsiTheme="minorHAnsi" w:cstheme="minorHAnsi"/>
          <w:color w:val="000000"/>
          <w:sz w:val="22"/>
          <w:szCs w:val="22"/>
        </w:rPr>
        <w:t>; přípojné vozidlo, popřípadě návěs musí být uzavřeným skříňovým tělesem o šířce a výšce odpovídající alespoň šířce a výšce kabiny motorového vozidla vytvořeným uzavřenou samostatnou skříní nebo ložnou plochou s plachtou na vestavěné konstrukci. Tahač návěsu musí být vybaven protiblokovacím brzdovým systémem, převodovkou umožňující ruční řazení převodových stupňů a záznamovým zařízením podle přímo použitelného předpisu Evropské unie</w:t>
      </w:r>
      <w:hyperlink r:id="rId8" w:anchor="f4371867" w:history="1">
        <w:r w:rsidRPr="007912F3">
          <w:rPr>
            <w:rStyle w:val="Hypertextovodkaz"/>
            <w:rFonts w:asciiTheme="minorHAnsi" w:hAnsiTheme="minorHAnsi" w:cstheme="minorHAnsi"/>
            <w:b/>
            <w:bCs/>
            <w:color w:val="05507A"/>
            <w:sz w:val="22"/>
            <w:szCs w:val="22"/>
            <w:vertAlign w:val="superscript"/>
          </w:rPr>
          <w:t>11</w:t>
        </w:r>
        <w:r w:rsidRPr="007912F3">
          <w:rPr>
            <w:rStyle w:val="Hypertextovodkaz"/>
            <w:rFonts w:asciiTheme="minorHAnsi" w:hAnsiTheme="minorHAnsi" w:cstheme="minorHAnsi"/>
            <w:b/>
            <w:bCs/>
            <w:color w:val="05507A"/>
            <w:sz w:val="22"/>
            <w:szCs w:val="22"/>
          </w:rPr>
          <w:t>)</w:t>
        </w:r>
      </w:hyperlink>
      <w:r w:rsidRPr="007912F3">
        <w:rPr>
          <w:rFonts w:asciiTheme="minorHAnsi" w:hAnsiTheme="minorHAnsi" w:cstheme="minorHAnsi"/>
          <w:color w:val="000000"/>
          <w:sz w:val="22"/>
          <w:szCs w:val="22"/>
        </w:rPr>
        <w:t>. Při zkoušce z praktické jízdy musí být okamžitá hmotnost jízdní soupravy nejméně 15000 kg,</w:t>
      </w:r>
    </w:p>
    <w:p w:rsidR="001050E8" w:rsidRPr="00C86733" w:rsidRDefault="001050E8">
      <w:pPr>
        <w:pStyle w:val="Zkladntext20"/>
        <w:shd w:val="clear" w:color="auto" w:fill="auto"/>
        <w:spacing w:before="0" w:after="114" w:line="243" w:lineRule="exact"/>
        <w:ind w:left="560" w:right="840"/>
        <w:jc w:val="left"/>
        <w:rPr>
          <w:rFonts w:asciiTheme="minorHAnsi" w:hAnsiTheme="minorHAnsi" w:cstheme="minorHAnsi"/>
        </w:rPr>
      </w:pPr>
    </w:p>
    <w:p w:rsidR="001050E8" w:rsidRPr="00C86733" w:rsidRDefault="001050E8" w:rsidP="00B5041B">
      <w:pPr>
        <w:pStyle w:val="Zkladntext20"/>
        <w:numPr>
          <w:ilvl w:val="0"/>
          <w:numId w:val="2"/>
        </w:numPr>
        <w:shd w:val="clear" w:color="auto" w:fill="auto"/>
        <w:spacing w:before="0" w:after="114" w:line="243" w:lineRule="exact"/>
        <w:ind w:left="284" w:right="840"/>
        <w:jc w:val="left"/>
        <w:rPr>
          <w:rFonts w:asciiTheme="minorHAnsi" w:hAnsiTheme="minorHAnsi" w:cstheme="minorHAnsi"/>
          <w:sz w:val="24"/>
          <w:szCs w:val="24"/>
        </w:rPr>
      </w:pPr>
      <w:r w:rsidRPr="00C86733">
        <w:rPr>
          <w:rFonts w:asciiTheme="minorHAnsi" w:hAnsiTheme="minorHAnsi" w:cstheme="minorHAnsi"/>
          <w:sz w:val="24"/>
          <w:szCs w:val="24"/>
        </w:rPr>
        <w:t>Barva</w:t>
      </w:r>
      <w:r w:rsidR="00F0146A" w:rsidRPr="00C86733">
        <w:rPr>
          <w:rFonts w:asciiTheme="minorHAnsi" w:hAnsiTheme="minorHAnsi" w:cstheme="minorHAnsi"/>
          <w:sz w:val="24"/>
          <w:szCs w:val="24"/>
        </w:rPr>
        <w:t xml:space="preserve"> kabiny -</w:t>
      </w:r>
      <w:r w:rsidRPr="00C86733">
        <w:rPr>
          <w:rFonts w:asciiTheme="minorHAnsi" w:hAnsiTheme="minorHAnsi" w:cstheme="minorHAnsi"/>
          <w:sz w:val="24"/>
          <w:szCs w:val="24"/>
        </w:rPr>
        <w:t xml:space="preserve"> bílá</w:t>
      </w:r>
    </w:p>
    <w:p w:rsidR="00B5041B" w:rsidRPr="00C86733" w:rsidRDefault="00B5041B" w:rsidP="00B5041B">
      <w:pPr>
        <w:pStyle w:val="Zkladntext20"/>
        <w:numPr>
          <w:ilvl w:val="0"/>
          <w:numId w:val="2"/>
        </w:numPr>
        <w:shd w:val="clear" w:color="auto" w:fill="auto"/>
        <w:spacing w:before="0" w:after="114" w:line="243" w:lineRule="exact"/>
        <w:ind w:left="284" w:right="840"/>
        <w:jc w:val="left"/>
        <w:rPr>
          <w:rFonts w:asciiTheme="minorHAnsi" w:hAnsiTheme="minorHAnsi" w:cstheme="minorHAnsi"/>
          <w:sz w:val="24"/>
          <w:szCs w:val="24"/>
        </w:rPr>
      </w:pPr>
      <w:r w:rsidRPr="00C86733">
        <w:rPr>
          <w:rFonts w:asciiTheme="minorHAnsi" w:hAnsiTheme="minorHAnsi" w:cstheme="minorHAnsi"/>
          <w:sz w:val="24"/>
          <w:szCs w:val="24"/>
        </w:rPr>
        <w:t>Spojovací zařízení třída S RINGFEDRE 2040 doplněné přípojkou pro zapojení elektriky a brzdového systému vleku.</w:t>
      </w:r>
    </w:p>
    <w:p w:rsidR="00B5041B" w:rsidRPr="007912F3" w:rsidRDefault="000267AE" w:rsidP="00B5041B">
      <w:pPr>
        <w:pStyle w:val="Zkladntext20"/>
        <w:numPr>
          <w:ilvl w:val="0"/>
          <w:numId w:val="2"/>
        </w:numPr>
        <w:shd w:val="clear" w:color="auto" w:fill="auto"/>
        <w:spacing w:before="0" w:after="114" w:line="243" w:lineRule="exact"/>
        <w:ind w:left="284" w:right="840"/>
        <w:jc w:val="left"/>
        <w:rPr>
          <w:rFonts w:asciiTheme="minorHAnsi" w:hAnsiTheme="minorHAnsi" w:cstheme="minorHAnsi"/>
          <w:sz w:val="24"/>
          <w:szCs w:val="24"/>
        </w:rPr>
      </w:pPr>
      <w:r w:rsidRPr="00C86733">
        <w:rPr>
          <w:rFonts w:asciiTheme="minorHAnsi" w:hAnsiTheme="minorHAnsi" w:cstheme="minorHAnsi"/>
          <w:sz w:val="24"/>
          <w:szCs w:val="24"/>
        </w:rPr>
        <w:t>Výška plachtové, případně skříňové nástavby nepřesahující výšku kabiny více než</w:t>
      </w:r>
      <w:r w:rsidRPr="007912F3">
        <w:rPr>
          <w:rFonts w:asciiTheme="minorHAnsi" w:hAnsiTheme="minorHAnsi" w:cstheme="minorHAnsi"/>
          <w:sz w:val="24"/>
          <w:szCs w:val="24"/>
        </w:rPr>
        <w:t xml:space="preserve"> 20 cm.</w:t>
      </w:r>
    </w:p>
    <w:p w:rsidR="000267AE" w:rsidRPr="007912F3" w:rsidRDefault="000267AE" w:rsidP="00B5041B">
      <w:pPr>
        <w:pStyle w:val="Zkladntext20"/>
        <w:numPr>
          <w:ilvl w:val="0"/>
          <w:numId w:val="2"/>
        </w:numPr>
        <w:shd w:val="clear" w:color="auto" w:fill="auto"/>
        <w:spacing w:before="0" w:after="114" w:line="243" w:lineRule="exact"/>
        <w:ind w:left="284" w:right="840"/>
        <w:jc w:val="left"/>
        <w:rPr>
          <w:rFonts w:asciiTheme="minorHAnsi" w:hAnsiTheme="minorHAnsi" w:cstheme="minorHAnsi"/>
          <w:sz w:val="24"/>
          <w:szCs w:val="24"/>
        </w:rPr>
      </w:pPr>
      <w:r w:rsidRPr="007912F3">
        <w:rPr>
          <w:rFonts w:asciiTheme="minorHAnsi" w:hAnsiTheme="minorHAnsi" w:cstheme="minorHAnsi"/>
          <w:sz w:val="24"/>
          <w:szCs w:val="24"/>
        </w:rPr>
        <w:t>Montáž druhého ovládání pro potřeby autoškoly. Doklad pro schválení jako cvičné vozidlo.</w:t>
      </w:r>
    </w:p>
    <w:p w:rsidR="00F0146A" w:rsidRDefault="00F0146A" w:rsidP="00B5041B">
      <w:pPr>
        <w:pStyle w:val="Zkladntext20"/>
        <w:numPr>
          <w:ilvl w:val="0"/>
          <w:numId w:val="2"/>
        </w:numPr>
        <w:shd w:val="clear" w:color="auto" w:fill="auto"/>
        <w:spacing w:before="0" w:after="114" w:line="243" w:lineRule="exact"/>
        <w:ind w:left="284" w:right="840"/>
        <w:jc w:val="left"/>
        <w:rPr>
          <w:rFonts w:asciiTheme="minorHAnsi" w:hAnsiTheme="minorHAnsi" w:cstheme="minorHAnsi"/>
          <w:sz w:val="24"/>
          <w:szCs w:val="24"/>
        </w:rPr>
      </w:pPr>
      <w:r w:rsidRPr="007912F3">
        <w:rPr>
          <w:rFonts w:asciiTheme="minorHAnsi" w:hAnsiTheme="minorHAnsi" w:cstheme="minorHAnsi"/>
          <w:sz w:val="24"/>
          <w:szCs w:val="24"/>
        </w:rPr>
        <w:t>Aktivace tachografu na uživatele a RZ.</w:t>
      </w:r>
    </w:p>
    <w:p w:rsidR="00C86733" w:rsidRDefault="00C86733" w:rsidP="00B5041B">
      <w:pPr>
        <w:pStyle w:val="Zkladntext20"/>
        <w:numPr>
          <w:ilvl w:val="0"/>
          <w:numId w:val="2"/>
        </w:numPr>
        <w:shd w:val="clear" w:color="auto" w:fill="auto"/>
        <w:spacing w:before="0" w:after="114" w:line="243" w:lineRule="exact"/>
        <w:ind w:left="284" w:right="840"/>
        <w:jc w:val="left"/>
        <w:rPr>
          <w:rFonts w:asciiTheme="minorHAnsi" w:hAnsiTheme="minorHAnsi" w:cstheme="minorHAnsi"/>
          <w:sz w:val="24"/>
          <w:szCs w:val="24"/>
        </w:rPr>
      </w:pPr>
      <w:r>
        <w:rPr>
          <w:rFonts w:asciiTheme="minorHAnsi" w:hAnsiTheme="minorHAnsi" w:cstheme="minorHAnsi"/>
          <w:sz w:val="24"/>
          <w:szCs w:val="24"/>
        </w:rPr>
        <w:t>Upravené (zvětšené) konzole na zpětná zrcátka a doplněná zrcátka pro učitele.</w:t>
      </w:r>
    </w:p>
    <w:p w:rsidR="007912F3" w:rsidRDefault="007912F3" w:rsidP="007912F3">
      <w:pPr>
        <w:pStyle w:val="Zkladntext20"/>
        <w:shd w:val="clear" w:color="auto" w:fill="auto"/>
        <w:spacing w:before="0" w:after="114" w:line="243" w:lineRule="exact"/>
        <w:ind w:right="840"/>
        <w:jc w:val="left"/>
        <w:rPr>
          <w:rFonts w:asciiTheme="minorHAnsi" w:hAnsiTheme="minorHAnsi" w:cstheme="minorHAnsi"/>
          <w:sz w:val="24"/>
          <w:szCs w:val="24"/>
        </w:rPr>
      </w:pPr>
    </w:p>
    <w:p w:rsidR="007912F3" w:rsidRDefault="007912F3" w:rsidP="007912F3">
      <w:pPr>
        <w:pStyle w:val="Zkladntext20"/>
        <w:shd w:val="clear" w:color="auto" w:fill="auto"/>
        <w:spacing w:before="0" w:after="114" w:line="243" w:lineRule="exact"/>
        <w:ind w:right="840"/>
        <w:jc w:val="left"/>
        <w:rPr>
          <w:rFonts w:asciiTheme="minorHAnsi" w:hAnsiTheme="minorHAnsi" w:cstheme="minorHAnsi"/>
          <w:sz w:val="24"/>
          <w:szCs w:val="24"/>
        </w:rPr>
      </w:pPr>
      <w:bookmarkStart w:id="0" w:name="_GoBack"/>
      <w:bookmarkEnd w:id="0"/>
    </w:p>
    <w:p w:rsidR="007912F3" w:rsidRDefault="007912F3" w:rsidP="007912F3">
      <w:pPr>
        <w:pStyle w:val="Zkladntext20"/>
        <w:shd w:val="clear" w:color="auto" w:fill="auto"/>
        <w:spacing w:before="0" w:after="114" w:line="243" w:lineRule="exact"/>
        <w:ind w:right="840"/>
        <w:jc w:val="left"/>
        <w:rPr>
          <w:rFonts w:asciiTheme="minorHAnsi" w:hAnsiTheme="minorHAnsi" w:cstheme="minorHAnsi"/>
          <w:sz w:val="24"/>
          <w:szCs w:val="24"/>
        </w:rPr>
      </w:pPr>
    </w:p>
    <w:p w:rsidR="007912F3" w:rsidRDefault="007912F3" w:rsidP="007912F3">
      <w:pPr>
        <w:pStyle w:val="Zkladntext20"/>
        <w:shd w:val="clear" w:color="auto" w:fill="auto"/>
        <w:spacing w:before="0" w:after="114" w:line="243" w:lineRule="exact"/>
        <w:ind w:right="840"/>
        <w:jc w:val="left"/>
        <w:rPr>
          <w:rFonts w:asciiTheme="minorHAnsi" w:hAnsiTheme="minorHAnsi" w:cstheme="minorHAnsi"/>
          <w:sz w:val="24"/>
          <w:szCs w:val="24"/>
        </w:rPr>
      </w:pPr>
    </w:p>
    <w:p w:rsidR="007912F3" w:rsidRPr="007912F3" w:rsidRDefault="007912F3" w:rsidP="007912F3">
      <w:pPr>
        <w:pStyle w:val="Zkladntext20"/>
        <w:shd w:val="clear" w:color="auto" w:fill="auto"/>
        <w:spacing w:before="0" w:after="114" w:line="243" w:lineRule="exact"/>
        <w:ind w:right="840"/>
        <w:jc w:val="left"/>
        <w:rPr>
          <w:rFonts w:asciiTheme="minorHAnsi" w:hAnsiTheme="minorHAnsi" w:cstheme="minorHAnsi"/>
          <w:sz w:val="24"/>
          <w:szCs w:val="24"/>
        </w:rPr>
      </w:pPr>
      <w:r>
        <w:rPr>
          <w:rStyle w:val="PromnnHTML"/>
          <w:vertAlign w:val="superscript"/>
        </w:rPr>
        <w:t>11</w:t>
      </w:r>
      <w:r>
        <w:rPr>
          <w:rStyle w:val="PromnnHTML"/>
        </w:rPr>
        <w:t>)</w:t>
      </w:r>
      <w:r>
        <w:t xml:space="preserve"> Nařízení Rady (EHS) č. 3821/85 ze dne 20. prosince 1985 o záznamovém zařízení v silniční dopravě (Úř. věst. L 370, 3. 12. 1985, s. 8), ve znění pozdějších předpisů.</w:t>
      </w:r>
    </w:p>
    <w:sectPr w:rsidR="007912F3" w:rsidRPr="007912F3" w:rsidSect="00B5041B">
      <w:pgSz w:w="11907" w:h="16839" w:code="9"/>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2F" w:rsidRDefault="0093072F">
      <w:r>
        <w:separator/>
      </w:r>
    </w:p>
  </w:endnote>
  <w:endnote w:type="continuationSeparator" w:id="0">
    <w:p w:rsidR="0093072F" w:rsidRDefault="0093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2F" w:rsidRDefault="0093072F"/>
  </w:footnote>
  <w:footnote w:type="continuationSeparator" w:id="0">
    <w:p w:rsidR="0093072F" w:rsidRDefault="009307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E26CA"/>
    <w:multiLevelType w:val="hybridMultilevel"/>
    <w:tmpl w:val="86247A5A"/>
    <w:lvl w:ilvl="0" w:tplc="7384FB4E">
      <w:numFmt w:val="bullet"/>
      <w:lvlText w:val="-"/>
      <w:lvlJc w:val="left"/>
      <w:pPr>
        <w:ind w:left="1280" w:hanging="360"/>
      </w:pPr>
      <w:rPr>
        <w:rFonts w:ascii="Calibri" w:eastAsia="Calibri" w:hAnsi="Calibri" w:cs="Calibri" w:hint="default"/>
      </w:rPr>
    </w:lvl>
    <w:lvl w:ilvl="1" w:tplc="04050003" w:tentative="1">
      <w:start w:val="1"/>
      <w:numFmt w:val="bullet"/>
      <w:lvlText w:val="o"/>
      <w:lvlJc w:val="left"/>
      <w:pPr>
        <w:ind w:left="2000" w:hanging="360"/>
      </w:pPr>
      <w:rPr>
        <w:rFonts w:ascii="Courier New" w:hAnsi="Courier New" w:cs="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 w15:restartNumberingAfterBreak="0">
    <w:nsid w:val="26D87342"/>
    <w:multiLevelType w:val="hybridMultilevel"/>
    <w:tmpl w:val="F996A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2D"/>
    <w:rsid w:val="000267AE"/>
    <w:rsid w:val="0009499B"/>
    <w:rsid w:val="000973EA"/>
    <w:rsid w:val="001050E8"/>
    <w:rsid w:val="001B6A0F"/>
    <w:rsid w:val="002A2574"/>
    <w:rsid w:val="004C06E3"/>
    <w:rsid w:val="005D222D"/>
    <w:rsid w:val="005D56B2"/>
    <w:rsid w:val="00663E5A"/>
    <w:rsid w:val="006C45FD"/>
    <w:rsid w:val="007912F3"/>
    <w:rsid w:val="00923DAB"/>
    <w:rsid w:val="0093072F"/>
    <w:rsid w:val="00A941A3"/>
    <w:rsid w:val="00B5041B"/>
    <w:rsid w:val="00BC76CA"/>
    <w:rsid w:val="00C5153F"/>
    <w:rsid w:val="00C86733"/>
    <w:rsid w:val="00D125A4"/>
    <w:rsid w:val="00F01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9548D-C862-4218-A75D-35401D30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A2574"/>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A2574"/>
    <w:rPr>
      <w:color w:val="0066CC"/>
      <w:u w:val="single"/>
    </w:rPr>
  </w:style>
  <w:style w:type="character" w:customStyle="1" w:styleId="Zkladntext2">
    <w:name w:val="Základní text (2)_"/>
    <w:basedOn w:val="Standardnpsmoodstavce"/>
    <w:link w:val="Zkladntext20"/>
    <w:rsid w:val="002A2574"/>
    <w:rPr>
      <w:rFonts w:ascii="Calibri" w:eastAsia="Calibri" w:hAnsi="Calibri" w:cs="Calibri"/>
      <w:b w:val="0"/>
      <w:bCs w:val="0"/>
      <w:i w:val="0"/>
      <w:iCs w:val="0"/>
      <w:smallCaps w:val="0"/>
      <w:strike w:val="0"/>
      <w:sz w:val="19"/>
      <w:szCs w:val="19"/>
      <w:u w:val="none"/>
    </w:rPr>
  </w:style>
  <w:style w:type="paragraph" w:customStyle="1" w:styleId="Zkladntext20">
    <w:name w:val="Základní text (2)"/>
    <w:basedOn w:val="Normln"/>
    <w:link w:val="Zkladntext2"/>
    <w:rsid w:val="002A2574"/>
    <w:pPr>
      <w:shd w:val="clear" w:color="auto" w:fill="FFFFFF"/>
      <w:spacing w:before="60" w:after="180" w:line="0" w:lineRule="atLeast"/>
      <w:jc w:val="both"/>
    </w:pPr>
    <w:rPr>
      <w:rFonts w:ascii="Calibri" w:eastAsia="Calibri" w:hAnsi="Calibri" w:cs="Calibri"/>
      <w:sz w:val="19"/>
      <w:szCs w:val="19"/>
    </w:rPr>
  </w:style>
  <w:style w:type="paragraph" w:customStyle="1" w:styleId="l3">
    <w:name w:val="l3"/>
    <w:basedOn w:val="Normln"/>
    <w:rsid w:val="001050E8"/>
    <w:pPr>
      <w:widowControl/>
      <w:spacing w:before="100" w:beforeAutospacing="1" w:after="100" w:afterAutospacing="1"/>
    </w:pPr>
    <w:rPr>
      <w:rFonts w:ascii="Times New Roman" w:eastAsia="Times New Roman" w:hAnsi="Times New Roman" w:cs="Times New Roman"/>
      <w:color w:val="auto"/>
      <w:lang w:bidi="ar-SA"/>
    </w:rPr>
  </w:style>
  <w:style w:type="character" w:styleId="PromnnHTML">
    <w:name w:val="HTML Variable"/>
    <w:basedOn w:val="Standardnpsmoodstavce"/>
    <w:uiPriority w:val="99"/>
    <w:semiHidden/>
    <w:unhideWhenUsed/>
    <w:rsid w:val="001050E8"/>
    <w:rPr>
      <w:i/>
      <w:iCs/>
    </w:rPr>
  </w:style>
  <w:style w:type="paragraph" w:styleId="Textbubliny">
    <w:name w:val="Balloon Text"/>
    <w:basedOn w:val="Normln"/>
    <w:link w:val="TextbublinyChar"/>
    <w:uiPriority w:val="99"/>
    <w:semiHidden/>
    <w:unhideWhenUsed/>
    <w:rsid w:val="007912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2F3"/>
    <w:rPr>
      <w:rFonts w:ascii="Segoe UI" w:hAnsi="Segoe UI" w:cs="Segoe UI"/>
      <w:color w:val="000000"/>
      <w:sz w:val="18"/>
      <w:szCs w:val="18"/>
    </w:rPr>
  </w:style>
  <w:style w:type="character" w:styleId="Sledovanodkaz">
    <w:name w:val="FollowedHyperlink"/>
    <w:basedOn w:val="Standardnpsmoodstavce"/>
    <w:uiPriority w:val="99"/>
    <w:semiHidden/>
    <w:unhideWhenUsed/>
    <w:rsid w:val="00791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0-247" TargetMode="External"/><Relationship Id="rId3" Type="http://schemas.openxmlformats.org/officeDocument/2006/relationships/settings" Target="settings.xml"/><Relationship Id="rId7" Type="http://schemas.openxmlformats.org/officeDocument/2006/relationships/hyperlink" Target="https://www.zakonyprolidi.cz/cs/20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386</Words>
  <Characters>2280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Josef Horní</cp:lastModifiedBy>
  <cp:revision>5</cp:revision>
  <cp:lastPrinted>2018-04-26T07:10:00Z</cp:lastPrinted>
  <dcterms:created xsi:type="dcterms:W3CDTF">2018-04-26T06:38:00Z</dcterms:created>
  <dcterms:modified xsi:type="dcterms:W3CDTF">2018-04-26T09:03:00Z</dcterms:modified>
</cp:coreProperties>
</file>