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F7DE" w14:textId="363550AA"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9A2C9C">
        <w:rPr>
          <w:b/>
          <w:sz w:val="28"/>
        </w:rPr>
        <w:t xml:space="preserve">Příloha č. </w:t>
      </w:r>
      <w:r w:rsidR="006507E7">
        <w:rPr>
          <w:b/>
          <w:sz w:val="28"/>
        </w:rPr>
        <w:t>5</w:t>
      </w:r>
      <w:r w:rsidRPr="009A2C9C">
        <w:rPr>
          <w:b/>
          <w:sz w:val="28"/>
        </w:rPr>
        <w:t xml:space="preserve"> </w:t>
      </w:r>
      <w:r w:rsidR="00DA34D9" w:rsidRPr="009A2C9C">
        <w:rPr>
          <w:b/>
          <w:sz w:val="28"/>
        </w:rPr>
        <w:t xml:space="preserve">dokumentace </w:t>
      </w:r>
      <w:r w:rsidR="0081046F">
        <w:rPr>
          <w:b/>
          <w:sz w:val="28"/>
        </w:rPr>
        <w:t>výběrového</w:t>
      </w:r>
      <w:r w:rsidR="00DA34D9">
        <w:rPr>
          <w:b/>
          <w:sz w:val="28"/>
        </w:rPr>
        <w:t xml:space="preserve"> řízení</w:t>
      </w:r>
    </w:p>
    <w:p w14:paraId="26D6CAE1" w14:textId="77777777"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1931DB4E" w14:textId="4E34AEA4"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5B48E5">
        <w:rPr>
          <w:b/>
          <w:sz w:val="28"/>
        </w:rPr>
        <w:t>ů</w:t>
      </w:r>
    </w:p>
    <w:p w14:paraId="28B6F057" w14:textId="77777777"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14:paraId="0D2F0B81" w14:textId="28F1C38C"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14:paraId="60D91BCB" w14:textId="19CA19B0"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293465">
        <w:rPr>
          <w:rFonts w:ascii="Calibri" w:hAnsi="Calibri"/>
          <w:i/>
          <w:sz w:val="22"/>
          <w:szCs w:val="22"/>
        </w:rPr>
        <w:t xml:space="preserve">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14:paraId="040C22FA" w14:textId="700A6012"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4A0AC7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</w:t>
      </w:r>
      <w:r w:rsidR="00EC3E6F">
        <w:rPr>
          <w:rFonts w:asciiTheme="minorHAnsi" w:hAnsiTheme="minorHAnsi"/>
          <w:sz w:val="22"/>
          <w:szCs w:val="22"/>
        </w:rPr>
        <w:t> </w:t>
      </w:r>
      <w:r w:rsidRPr="00293465">
        <w:rPr>
          <w:rFonts w:asciiTheme="minorHAnsi" w:hAnsiTheme="minorHAnsi"/>
          <w:sz w:val="22"/>
          <w:szCs w:val="22"/>
        </w:rPr>
        <w:t>názvem</w:t>
      </w:r>
      <w:r w:rsidR="00EC3E6F">
        <w:rPr>
          <w:rFonts w:asciiTheme="minorHAnsi" w:hAnsiTheme="minorHAnsi"/>
          <w:sz w:val="22"/>
          <w:szCs w:val="22"/>
        </w:rPr>
        <w:t xml:space="preserve"> </w:t>
      </w:r>
      <w:r w:rsidR="00A73367">
        <w:rPr>
          <w:rFonts w:asciiTheme="minorHAnsi" w:hAnsiTheme="minorHAnsi"/>
          <w:b/>
          <w:sz w:val="22"/>
          <w:szCs w:val="22"/>
        </w:rPr>
        <w:t>III/35314 OKRUŽNÍ KŘIŽOVATKA I/19 – ŽELEZNIČNÍ PŘEJEZD</w:t>
      </w:r>
      <w:r w:rsidR="009A2C9C" w:rsidRPr="00A73367">
        <w:rPr>
          <w:rFonts w:asciiTheme="minorHAnsi" w:hAnsiTheme="minorHAnsi"/>
          <w:sz w:val="22"/>
          <w:szCs w:val="22"/>
        </w:rPr>
        <w:t>,</w:t>
      </w:r>
      <w:r w:rsidRPr="00A73367">
        <w:rPr>
          <w:rFonts w:asciiTheme="minorHAnsi" w:hAnsiTheme="minorHAnsi"/>
          <w:sz w:val="22"/>
          <w:szCs w:val="22"/>
          <w:lang w:bidi="en-US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tímto v</w:t>
      </w:r>
      <w:r w:rsidR="004A0AC7">
        <w:rPr>
          <w:rFonts w:asciiTheme="minorHAnsi" w:hAnsiTheme="minorHAnsi"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souladu s</w:t>
      </w:r>
      <w:r w:rsidR="004A0AC7">
        <w:rPr>
          <w:rFonts w:asciiTheme="minorHAnsi" w:hAnsiTheme="minorHAnsi"/>
          <w:sz w:val="22"/>
          <w:szCs w:val="22"/>
        </w:rPr>
        <w:t xml:space="preserve"> příslušným ustanovením dokumentace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="004A0AC7">
        <w:rPr>
          <w:rFonts w:asciiTheme="minorHAnsi" w:hAnsiTheme="minorHAnsi"/>
          <w:sz w:val="22"/>
          <w:szCs w:val="22"/>
        </w:rPr>
        <w:t xml:space="preserve"> řízení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14:paraId="6D3CDFA7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0A67755" w14:textId="77777777"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14:paraId="6B39088C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35CF976" w14:textId="77777777"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14:paraId="30DAFE02" w14:textId="77777777"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4F59E8" w14:textId="77777777" w:rsidR="00FF427D" w:rsidRPr="0055574C" w:rsidRDefault="008D080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7208CD3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609D8F3" w14:textId="77777777"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49FF2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6E388251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6B4DF8A" w14:textId="77777777"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08C05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200E9A06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08EC49DA" w14:textId="77777777"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D9DD60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14:paraId="73178B0D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6B378C41" w14:textId="77777777"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0C7CAB" w14:textId="77777777" w:rsidR="00041E40" w:rsidRPr="00D70006" w:rsidRDefault="008D080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693E773E" w14:textId="77777777"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14:paraId="1C7179BD" w14:textId="77777777"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14:paraId="485816EF" w14:textId="77777777"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14:paraId="7674AF67" w14:textId="1E96D86C"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14:paraId="757A07CA" w14:textId="20091D78"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E76C8E">
        <w:rPr>
          <w:rFonts w:ascii="Calibri" w:hAnsi="Calibri"/>
          <w:i/>
          <w:sz w:val="22"/>
          <w:szCs w:val="22"/>
        </w:rPr>
        <w:t xml:space="preserve">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 xml:space="preserve">výběrového </w:t>
      </w:r>
      <w:r w:rsidR="00403540">
        <w:rPr>
          <w:rFonts w:ascii="Calibri" w:hAnsi="Calibri"/>
          <w:i/>
          <w:sz w:val="22"/>
          <w:szCs w:val="22"/>
        </w:rPr>
        <w:t xml:space="preserve">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14:paraId="6589B682" w14:textId="77777777"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14:paraId="6F2B893E" w14:textId="4B6D59F1"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 názvem </w:t>
      </w:r>
      <w:r w:rsidR="00A73367">
        <w:rPr>
          <w:rFonts w:asciiTheme="minorHAnsi" w:hAnsiTheme="minorHAnsi"/>
          <w:b/>
          <w:sz w:val="22"/>
          <w:szCs w:val="22"/>
        </w:rPr>
        <w:t>III/35314 OKRUŽNÍ KŘIŽOVATKA I/19 – ŽELEZNIČNÍ PŘEJEZD</w:t>
      </w:r>
      <w:r w:rsidR="00C255E7" w:rsidRPr="00C255E7">
        <w:rPr>
          <w:rFonts w:asciiTheme="minorHAnsi" w:hAnsiTheme="minorHAnsi"/>
          <w:b/>
          <w:sz w:val="22"/>
          <w:szCs w:val="22"/>
        </w:rPr>
        <w:t>,</w:t>
      </w:r>
      <w:r w:rsidRPr="00293465">
        <w:rPr>
          <w:rFonts w:asciiTheme="minorHAnsi" w:hAnsiTheme="minorHAnsi"/>
          <w:sz w:val="22"/>
          <w:szCs w:val="22"/>
        </w:rPr>
        <w:t xml:space="preserve"> tímto v souladu </w:t>
      </w:r>
      <w:r w:rsidR="0072364C" w:rsidRPr="00293465">
        <w:rPr>
          <w:rFonts w:asciiTheme="minorHAnsi" w:hAnsiTheme="minorHAnsi"/>
          <w:sz w:val="22"/>
          <w:szCs w:val="22"/>
        </w:rPr>
        <w:t>s</w:t>
      </w:r>
      <w:r w:rsidR="0072364C">
        <w:rPr>
          <w:rFonts w:asciiTheme="minorHAnsi" w:hAnsiTheme="minorHAnsi"/>
          <w:sz w:val="22"/>
          <w:szCs w:val="22"/>
        </w:rPr>
        <w:t xml:space="preserve"> příslušným </w:t>
      </w:r>
      <w:r w:rsidR="0072364C">
        <w:rPr>
          <w:rFonts w:asciiTheme="minorHAnsi" w:hAnsiTheme="minorHAnsi"/>
          <w:sz w:val="22"/>
          <w:szCs w:val="22"/>
        </w:rPr>
        <w:lastRenderedPageBreak/>
        <w:t>ustanovením dokumentace výběrového řízení</w:t>
      </w:r>
      <w:r w:rsidRPr="00293465">
        <w:rPr>
          <w:rFonts w:asciiTheme="minorHAnsi" w:hAnsiTheme="minorHAnsi"/>
          <w:sz w:val="22"/>
          <w:szCs w:val="22"/>
        </w:rPr>
        <w:t>,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 nejsou známi poddodavatelé, jež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veřejné zakázky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14:paraId="743CFE90" w14:textId="77777777" w:rsidR="005D1ABE" w:rsidRPr="000F6ACF" w:rsidRDefault="005D1ABE" w:rsidP="005D1ABE">
      <w:pPr>
        <w:pStyle w:val="2nesltext"/>
        <w:keepNext/>
        <w:spacing w:before="480"/>
      </w:pPr>
      <w:r w:rsidRPr="000F6ACF">
        <w:t xml:space="preserve">V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D080E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D080E">
        <w:rPr>
          <w:highlight w:val="cyan"/>
          <w:lang w:bidi="en-US"/>
        </w:rPr>
        <w:fldChar w:fldCharType="end"/>
      </w:r>
    </w:p>
    <w:p w14:paraId="62FEE201" w14:textId="77777777" w:rsidR="005D1ABE" w:rsidRPr="00817B88" w:rsidRDefault="008D080E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67313EC4" w14:textId="77777777" w:rsidR="005D1ABE" w:rsidRPr="00817B88" w:rsidRDefault="008D080E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6741CF73" w14:textId="77777777"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62C05E58" w14:textId="77777777"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CFC0C" w14:textId="77777777" w:rsidR="00A54C17" w:rsidRDefault="00A54C17">
      <w:r>
        <w:separator/>
      </w:r>
    </w:p>
  </w:endnote>
  <w:endnote w:type="continuationSeparator" w:id="0">
    <w:p w14:paraId="3C3B7BD2" w14:textId="77777777" w:rsidR="00A54C17" w:rsidRDefault="00A5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7920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EF7FA4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9A73" w14:textId="45974AA9" w:rsidR="00D40674" w:rsidRPr="00985556" w:rsidRDefault="00C3354A" w:rsidP="00985556">
    <w:pPr>
      <w:pStyle w:val="Zpat"/>
      <w:rPr>
        <w:rFonts w:ascii="Calibri" w:hAnsi="Calibri"/>
        <w:sz w:val="22"/>
        <w:szCs w:val="22"/>
      </w:rPr>
    </w:pPr>
    <w:r w:rsidRPr="00C3354A">
      <w:rPr>
        <w:rFonts w:ascii="Calibri" w:hAnsi="Calibri"/>
        <w:sz w:val="22"/>
        <w:szCs w:val="20"/>
      </w:rPr>
      <w:t xml:space="preserve">Dokumentace výběrového řízení č. </w:t>
    </w:r>
    <w:bookmarkStart w:id="0" w:name="_GoBack"/>
    <w:r w:rsidR="00A73367" w:rsidRPr="00A73367">
      <w:rPr>
        <w:rFonts w:ascii="Calibri" w:hAnsi="Calibri"/>
        <w:sz w:val="22"/>
        <w:szCs w:val="20"/>
      </w:rPr>
      <w:t>96/2019/D1/VZMR/ZR/S</w:t>
    </w:r>
    <w:r w:rsidR="00A73367" w:rsidRPr="00672F56">
      <w:t xml:space="preserve"> </w:t>
    </w:r>
    <w:bookmarkEnd w:id="0"/>
    <w:r w:rsidR="008637A9">
      <w:rPr>
        <w:rFonts w:ascii="Calibri" w:hAnsi="Calibri"/>
        <w:sz w:val="22"/>
        <w:szCs w:val="20"/>
      </w:rPr>
      <w:t>– příloha č. 5</w:t>
    </w:r>
    <w:r w:rsidR="00985556">
      <w:rPr>
        <w:rFonts w:ascii="Calibri" w:hAnsi="Calibri"/>
        <w:sz w:val="22"/>
        <w:szCs w:val="20"/>
      </w:rPr>
      <w:tab/>
    </w:r>
    <w:r w:rsidR="00985556" w:rsidRPr="0055574C">
      <w:rPr>
        <w:rFonts w:ascii="Calibri" w:hAnsi="Calibri"/>
        <w:sz w:val="22"/>
        <w:szCs w:val="22"/>
      </w:rPr>
      <w:t xml:space="preserve">Stránka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PAGE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A73367">
      <w:rPr>
        <w:rFonts w:ascii="Calibri" w:hAnsi="Calibri"/>
        <w:b/>
        <w:bCs/>
        <w:noProof/>
        <w:sz w:val="22"/>
        <w:szCs w:val="22"/>
      </w:rPr>
      <w:t>1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  <w:r w:rsidR="00985556" w:rsidRPr="0055574C">
      <w:rPr>
        <w:rFonts w:ascii="Calibri" w:hAnsi="Calibri"/>
        <w:sz w:val="22"/>
        <w:szCs w:val="22"/>
      </w:rPr>
      <w:t xml:space="preserve"> z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NUMPAGES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A73367">
      <w:rPr>
        <w:rFonts w:ascii="Calibri" w:hAnsi="Calibri"/>
        <w:b/>
        <w:bCs/>
        <w:noProof/>
        <w:sz w:val="22"/>
        <w:szCs w:val="22"/>
      </w:rPr>
      <w:t>2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1CE5" w14:textId="77777777" w:rsidR="00D40674" w:rsidRDefault="00D40674" w:rsidP="004F2255">
    <w:pPr>
      <w:pStyle w:val="Zpat"/>
      <w:rPr>
        <w:sz w:val="22"/>
        <w:szCs w:val="22"/>
      </w:rPr>
    </w:pPr>
  </w:p>
  <w:p w14:paraId="36838869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 w:rsidR="008637A9">
      <w:rPr>
        <w:b/>
        <w:noProof/>
        <w:sz w:val="22"/>
        <w:szCs w:val="22"/>
      </w:rPr>
      <w:t>2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8D44" w14:textId="77777777" w:rsidR="00A54C17" w:rsidRDefault="00A54C17">
      <w:r>
        <w:separator/>
      </w:r>
    </w:p>
  </w:footnote>
  <w:footnote w:type="continuationSeparator" w:id="0">
    <w:p w14:paraId="29C20478" w14:textId="77777777" w:rsidR="00A54C17" w:rsidRDefault="00A54C17">
      <w:r>
        <w:continuationSeparator/>
      </w:r>
    </w:p>
  </w:footnote>
  <w:footnote w:id="1">
    <w:p w14:paraId="7853784F" w14:textId="151CCB7A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BF22A9">
        <w:rPr>
          <w:rFonts w:ascii="Calibri" w:hAnsi="Calibri"/>
          <w:b/>
          <w:i/>
          <w:sz w:val="22"/>
        </w:rPr>
        <w:t>výběrového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1D870" w14:textId="77777777" w:rsidR="00A73367" w:rsidRDefault="00A733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9886" w14:textId="77777777" w:rsidR="00A73367" w:rsidRDefault="00A733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2D9A" w14:textId="77777777" w:rsidR="00A73367" w:rsidRDefault="00A733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15A57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D5988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67490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197D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71B98"/>
    <w:rsid w:val="004770F6"/>
    <w:rsid w:val="0048329A"/>
    <w:rsid w:val="00486E0C"/>
    <w:rsid w:val="004962C4"/>
    <w:rsid w:val="004A0AC7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48E5"/>
    <w:rsid w:val="005B565D"/>
    <w:rsid w:val="005B5714"/>
    <w:rsid w:val="005B61DF"/>
    <w:rsid w:val="005B7348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7E7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364C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46F"/>
    <w:rsid w:val="00810C5D"/>
    <w:rsid w:val="0081530E"/>
    <w:rsid w:val="00815493"/>
    <w:rsid w:val="00815B6F"/>
    <w:rsid w:val="008164BC"/>
    <w:rsid w:val="0082032E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7A9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556"/>
    <w:rsid w:val="00985E89"/>
    <w:rsid w:val="00995DE0"/>
    <w:rsid w:val="009A2C9C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23BC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54C17"/>
    <w:rsid w:val="00A601C6"/>
    <w:rsid w:val="00A629C6"/>
    <w:rsid w:val="00A64242"/>
    <w:rsid w:val="00A678FC"/>
    <w:rsid w:val="00A67A32"/>
    <w:rsid w:val="00A67E80"/>
    <w:rsid w:val="00A70A00"/>
    <w:rsid w:val="00A72198"/>
    <w:rsid w:val="00A73367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BE6C6D"/>
    <w:rsid w:val="00BF22A9"/>
    <w:rsid w:val="00C00901"/>
    <w:rsid w:val="00C02CDA"/>
    <w:rsid w:val="00C055F7"/>
    <w:rsid w:val="00C06C3F"/>
    <w:rsid w:val="00C072F5"/>
    <w:rsid w:val="00C10FED"/>
    <w:rsid w:val="00C11EB1"/>
    <w:rsid w:val="00C16998"/>
    <w:rsid w:val="00C23E61"/>
    <w:rsid w:val="00C253EC"/>
    <w:rsid w:val="00C255E7"/>
    <w:rsid w:val="00C3354A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87BA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DE291D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011B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2AD9"/>
    <w:rsid w:val="00E536C1"/>
    <w:rsid w:val="00E55327"/>
    <w:rsid w:val="00E555F6"/>
    <w:rsid w:val="00E556D9"/>
    <w:rsid w:val="00E57935"/>
    <w:rsid w:val="00E60E98"/>
    <w:rsid w:val="00E62313"/>
    <w:rsid w:val="00E66021"/>
    <w:rsid w:val="00E7073A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3E6F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D7465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FE3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85150-79DD-4F78-A1B0-A90B1617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2019-05-16T12:44:00Z</dcterms:modified>
</cp:coreProperties>
</file>