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70416" w14:textId="77777777" w:rsidR="008D74C4" w:rsidRPr="008D74C4" w:rsidRDefault="008D74C4" w:rsidP="008D74C4">
      <w:pPr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cs-CZ"/>
        </w:rPr>
      </w:pPr>
      <w:r w:rsidRPr="008D74C4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cs-CZ"/>
        </w:rPr>
        <w:t>NIS – rámcové požadavky pro práci klinického farmaceuta</w:t>
      </w:r>
    </w:p>
    <w:p w14:paraId="58E482C1" w14:textId="77777777" w:rsidR="008D74C4" w:rsidRPr="008D74C4" w:rsidRDefault="008D74C4" w:rsidP="008D74C4">
      <w:pPr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8D74C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SYSTEMATICKÉ HODNOCENÍ</w:t>
      </w:r>
    </w:p>
    <w:p w14:paraId="5178F9E2" w14:textId="77777777" w:rsidR="008D74C4" w:rsidRPr="008D74C4" w:rsidRDefault="008D74C4" w:rsidP="008D74C4">
      <w:pPr>
        <w:pStyle w:val="Odstavecseseznamem1"/>
        <w:numPr>
          <w:ilvl w:val="0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Při výběru oddělení </w:t>
      </w:r>
    </w:p>
    <w:p w14:paraId="29172FCA" w14:textId="77777777" w:rsidR="008D74C4" w:rsidRPr="008D74C4" w:rsidRDefault="008D74C4" w:rsidP="008D74C4">
      <w:pPr>
        <w:pStyle w:val="Odstavecseseznamem1"/>
        <w:numPr>
          <w:ilvl w:val="1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Zobrazení seznamu ležících pacientů a možnost vstupu do pacientovy karty </w:t>
      </w:r>
    </w:p>
    <w:p w14:paraId="7991264E" w14:textId="77777777" w:rsidR="008D74C4" w:rsidRPr="008D74C4" w:rsidRDefault="008D74C4" w:rsidP="008D74C4">
      <w:pPr>
        <w:pStyle w:val="Odstavecseseznamem1"/>
        <w:numPr>
          <w:ilvl w:val="1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Označení pacientů, u kterých byla provedena kontrola  </w:t>
      </w:r>
    </w:p>
    <w:p w14:paraId="5355B2B7" w14:textId="77777777" w:rsidR="00B975AA" w:rsidRDefault="00B975AA" w:rsidP="008D74C4">
      <w:pPr>
        <w:pStyle w:val="Odstavecseseznamem1"/>
        <w:numPr>
          <w:ilvl w:val="1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Automatické o</w:t>
      </w:r>
      <w:r w:rsidR="008D74C4"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značení pacientů s  rizikovými faktory</w:t>
      </w:r>
    </w:p>
    <w:p w14:paraId="70264011" w14:textId="77777777" w:rsidR="001C33F1" w:rsidRDefault="00B53F1C" w:rsidP="00B975AA">
      <w:pPr>
        <w:pStyle w:val="Odstavecseseznamem1"/>
        <w:numPr>
          <w:ilvl w:val="2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Renální insuficience EPI pod 0,5 ml/s</w:t>
      </w:r>
    </w:p>
    <w:p w14:paraId="2B5BC1D8" w14:textId="2974D171" w:rsidR="001C33F1" w:rsidRDefault="001C33F1" w:rsidP="00B975AA">
      <w:pPr>
        <w:pStyle w:val="Odstavecseseznamem1"/>
        <w:numPr>
          <w:ilvl w:val="2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Terapeutická </w:t>
      </w:r>
      <w:proofErr w:type="spellStart"/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antikoagulace</w:t>
      </w:r>
      <w:proofErr w:type="spellEnd"/>
      <w:r w:rsidR="00A84C46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r w:rsidR="00DD7CCE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–</w:t>
      </w:r>
      <w:r w:rsidR="00A84C46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proofErr w:type="spellStart"/>
      <w:r w:rsidR="00DD7CCE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warfarin</w:t>
      </w:r>
      <w:proofErr w:type="spellEnd"/>
      <w:r w:rsidR="00DD7CCE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, LMWH (2x denně), </w:t>
      </w:r>
      <w:r w:rsidR="003506C8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DOAK</w:t>
      </w:r>
    </w:p>
    <w:p w14:paraId="4C8B88DC" w14:textId="7E26AACF" w:rsidR="00526FE0" w:rsidRDefault="00E66250" w:rsidP="00B975AA">
      <w:pPr>
        <w:pStyle w:val="Odstavecseseznamem1"/>
        <w:numPr>
          <w:ilvl w:val="2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Riziková léčiva – </w:t>
      </w:r>
      <w:proofErr w:type="spellStart"/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gentamicin</w:t>
      </w:r>
      <w:proofErr w:type="spellEnd"/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, </w:t>
      </w:r>
      <w:proofErr w:type="spellStart"/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vankomycin</w:t>
      </w:r>
      <w:proofErr w:type="spellEnd"/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,</w:t>
      </w:r>
      <w:r w:rsidR="0025034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proofErr w:type="spellStart"/>
      <w:r w:rsidR="0025034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rifampicin</w:t>
      </w:r>
      <w:proofErr w:type="spellEnd"/>
      <w:r w:rsidR="0025034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, </w:t>
      </w:r>
      <w:proofErr w:type="spellStart"/>
      <w:r w:rsidR="0025034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karbamazepin</w:t>
      </w:r>
      <w:proofErr w:type="spellEnd"/>
      <w:r w:rsidR="0025034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 </w:t>
      </w: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</w:p>
    <w:p w14:paraId="02586488" w14:textId="171A4212" w:rsidR="00C176E7" w:rsidRDefault="004E4D54" w:rsidP="00526FE0">
      <w:pPr>
        <w:pStyle w:val="Odstavecseseznamem1"/>
        <w:numPr>
          <w:ilvl w:val="1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Označení pacientů dle výběru </w:t>
      </w:r>
      <w:r w:rsidR="00C176E7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klinického farmaceuta </w:t>
      </w: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podle filtru</w:t>
      </w:r>
    </w:p>
    <w:p w14:paraId="50777AF1" w14:textId="31EBFC81" w:rsidR="008D74C4" w:rsidRPr="008D74C4" w:rsidRDefault="00C176E7" w:rsidP="00526FE0">
      <w:pPr>
        <w:pStyle w:val="Odstavecseseznamem1"/>
        <w:numPr>
          <w:ilvl w:val="1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Označ</w:t>
      </w:r>
      <w:r w:rsidR="00AC5418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e</w:t>
      </w: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ní pacientů dle výběru </w:t>
      </w:r>
      <w:r w:rsidR="005E792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lékaře</w:t>
      </w: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podle filtru</w:t>
      </w:r>
      <w:r w:rsidR="007F7261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r w:rsidR="008D74C4"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</w:p>
    <w:p w14:paraId="12B44C17" w14:textId="77777777" w:rsidR="008D74C4" w:rsidRPr="008D74C4" w:rsidRDefault="008D74C4" w:rsidP="008D74C4">
      <w:pPr>
        <w:pStyle w:val="Odstavecseseznamem1"/>
        <w:numPr>
          <w:ilvl w:val="0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Přístup do pacientovy karty</w:t>
      </w:r>
    </w:p>
    <w:p w14:paraId="29D7CE59" w14:textId="77777777" w:rsidR="008D74C4" w:rsidRPr="008D74C4" w:rsidRDefault="008D74C4" w:rsidP="008D74C4">
      <w:pPr>
        <w:pStyle w:val="Odstavecseseznamem1"/>
        <w:numPr>
          <w:ilvl w:val="1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Záznam o provedení kontroly, možnost vložit </w:t>
      </w:r>
      <w:proofErr w:type="gramStart"/>
      <w:r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doporučení , možnost</w:t>
      </w:r>
      <w:proofErr w:type="gramEnd"/>
      <w:r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zpětné reakce lékaře</w:t>
      </w:r>
    </w:p>
    <w:p w14:paraId="5713E474" w14:textId="3CB40DD0" w:rsidR="008D74C4" w:rsidRDefault="008D74C4" w:rsidP="008D74C4">
      <w:pPr>
        <w:pStyle w:val="Odstavecseseznamem1"/>
        <w:numPr>
          <w:ilvl w:val="2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K doporučení vložit zařazení (označení) typu intervence (pro vnitřní potřebu a statistické zhodnocení)</w:t>
      </w:r>
      <w:r w:rsidR="00034E00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, možnost </w:t>
      </w:r>
      <w:proofErr w:type="spellStart"/>
      <w:r w:rsidR="00034E00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multi</w:t>
      </w:r>
      <w:r w:rsidR="008F55A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ple</w:t>
      </w:r>
      <w:proofErr w:type="spellEnd"/>
      <w:r w:rsidR="008F55A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proofErr w:type="spellStart"/>
      <w:r w:rsidR="008F55A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choice</w:t>
      </w:r>
      <w:proofErr w:type="spellEnd"/>
      <w:r w:rsidR="00702261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dle </w:t>
      </w:r>
      <w:r w:rsidR="00D6109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ročního výkazu pro ÚZIS (viz tabulka)</w:t>
      </w:r>
    </w:p>
    <w:p w14:paraId="7D8023BB" w14:textId="026DD6E8" w:rsidR="00A84AE8" w:rsidRDefault="00A84AE8" w:rsidP="00A84AE8">
      <w:pPr>
        <w:pStyle w:val="Odstavecseseznamem1"/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</w:p>
    <w:p w14:paraId="4ADA3DB3" w14:textId="7A3ACE2F" w:rsidR="00A84AE8" w:rsidRPr="008D74C4" w:rsidRDefault="00A84AE8" w:rsidP="00A84AE8">
      <w:pPr>
        <w:pStyle w:val="Odstavecseseznamem1"/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A84AE8">
        <w:rPr>
          <w:rFonts w:ascii="Helvetica" w:eastAsia="Times New Roman" w:hAnsi="Helvetica" w:cs="Helvetica"/>
          <w:noProof/>
          <w:color w:val="333333"/>
          <w:kern w:val="0"/>
          <w:sz w:val="23"/>
          <w:szCs w:val="23"/>
          <w:lang w:eastAsia="cs-CZ"/>
        </w:rPr>
        <w:drawing>
          <wp:inline distT="0" distB="0" distL="0" distR="0" wp14:anchorId="0E61862F" wp14:editId="579248BF">
            <wp:extent cx="5760720" cy="1942465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4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011DB" w14:textId="17C3ED07" w:rsidR="008D74C4" w:rsidRPr="008D74C4" w:rsidRDefault="008D74C4" w:rsidP="008D74C4">
      <w:pPr>
        <w:pStyle w:val="Odstavecseseznamem1"/>
        <w:numPr>
          <w:ilvl w:val="2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Možnost statistického zpracování provedených intervencí</w:t>
      </w:r>
      <w:r w:rsidR="00BE2586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ve vybraném časovém období.</w:t>
      </w:r>
    </w:p>
    <w:p w14:paraId="5EC180E3" w14:textId="3B4AA740" w:rsidR="0082054D" w:rsidRPr="00E750B8" w:rsidRDefault="0082054D" w:rsidP="008D74C4">
      <w:pPr>
        <w:pStyle w:val="Odstavecseseznamem1"/>
        <w:numPr>
          <w:ilvl w:val="1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E750B8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Možnost vložit poznámky pro vlastní potřebu bez </w:t>
      </w:r>
      <w:r w:rsidR="00E750B8" w:rsidRPr="00E750B8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zobrazení pro lékaře</w:t>
      </w:r>
    </w:p>
    <w:p w14:paraId="1C29BEA0" w14:textId="0818A32E" w:rsidR="008D74C4" w:rsidRPr="00794E4F" w:rsidRDefault="008D74C4" w:rsidP="008D74C4">
      <w:pPr>
        <w:pStyle w:val="Odstavecseseznamem1"/>
        <w:numPr>
          <w:ilvl w:val="1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8D74C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Možnost exportu dat a tisk</w:t>
      </w:r>
      <w:r w:rsidR="00B9627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.</w:t>
      </w:r>
    </w:p>
    <w:p w14:paraId="2B9EE0A4" w14:textId="771934DE" w:rsidR="00CE2697" w:rsidRDefault="0017160B" w:rsidP="008D74C4">
      <w:pPr>
        <w:pStyle w:val="Odstavecseseznamem1"/>
        <w:numPr>
          <w:ilvl w:val="1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Automatické u</w:t>
      </w:r>
      <w:r w:rsidR="00215145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pozornění lékaře na vložené farmakoterapeutické doporučení</w:t>
      </w:r>
      <w:r w:rsidR="00B9627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(FTD).</w:t>
      </w:r>
    </w:p>
    <w:p w14:paraId="2BF1612E" w14:textId="1D0E19B8" w:rsidR="007F24FC" w:rsidRPr="00794E4F" w:rsidRDefault="0017160B" w:rsidP="008D74C4">
      <w:pPr>
        <w:pStyle w:val="Odstavecseseznamem1"/>
        <w:numPr>
          <w:ilvl w:val="1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Automatické </w:t>
      </w:r>
      <w:r w:rsidR="00421D35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upozornění </w:t>
      </w:r>
      <w:r w:rsidR="00F032E5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klin. </w:t>
      </w:r>
      <w:r w:rsidR="00421D35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farmaceuta na přečtené</w:t>
      </w:r>
      <w:r w:rsidR="00F032E5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/zobrazené</w:t>
      </w:r>
      <w:r w:rsidR="00421D35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FTD</w:t>
      </w:r>
      <w:r w:rsidR="00B9627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.</w:t>
      </w:r>
    </w:p>
    <w:p w14:paraId="15D78787" w14:textId="77777777" w:rsidR="008D74C4" w:rsidRDefault="008D74C4" w:rsidP="00B77002">
      <w:pPr>
        <w:pStyle w:val="Odstavecseseznamem1"/>
        <w:ind w:left="0"/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</w:p>
    <w:p w14:paraId="7696C24C" w14:textId="5F70022F" w:rsidR="00F90803" w:rsidRPr="00F90803" w:rsidRDefault="00F90803" w:rsidP="00935C2C">
      <w:pPr>
        <w:pStyle w:val="Odstavecseseznamem1"/>
        <w:numPr>
          <w:ilvl w:val="0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Pacientova karta</w:t>
      </w:r>
    </w:p>
    <w:p w14:paraId="10A8E41C" w14:textId="77777777" w:rsidR="00F90803" w:rsidRPr="00F90803" w:rsidRDefault="00F90803" w:rsidP="00F90803">
      <w:pPr>
        <w:pStyle w:val="Odstavecseseznamem1"/>
        <w:numPr>
          <w:ilvl w:val="1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Po otevření okna – zobrazit </w:t>
      </w:r>
      <w:proofErr w:type="gramStart"/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současně</w:t>
      </w:r>
      <w:proofErr w:type="gramEnd"/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– </w:t>
      </w:r>
      <w:proofErr w:type="gramStart"/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anamnéza</w:t>
      </w:r>
      <w:proofErr w:type="gramEnd"/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, Dg., poslední týdenní </w:t>
      </w:r>
      <w:proofErr w:type="spellStart"/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dekurz</w:t>
      </w:r>
      <w:proofErr w:type="spellEnd"/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, medikace, laboratoř</w:t>
      </w:r>
    </w:p>
    <w:p w14:paraId="3A43BB72" w14:textId="77777777" w:rsidR="00F90803" w:rsidRPr="00F90803" w:rsidRDefault="00F90803" w:rsidP="00F90803">
      <w:pPr>
        <w:pStyle w:val="Odstavecseseznamem1"/>
        <w:numPr>
          <w:ilvl w:val="2"/>
          <w:numId w:val="4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Po </w:t>
      </w:r>
      <w:proofErr w:type="spellStart"/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rozkliknutí</w:t>
      </w:r>
      <w:proofErr w:type="spellEnd"/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</w:p>
    <w:p w14:paraId="537AE3DF" w14:textId="6C9A07CE" w:rsidR="00F90803" w:rsidRPr="00F90803" w:rsidRDefault="00F90803" w:rsidP="00F90803">
      <w:pPr>
        <w:pStyle w:val="Odstavecseseznamem1"/>
        <w:numPr>
          <w:ilvl w:val="3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Možnost nahlédnout do absolvovaných vyšetření</w:t>
      </w:r>
      <w:r w:rsidR="00B24985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r w:rsidR="0062490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a </w:t>
      </w:r>
      <w:r w:rsidR="00B24985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měř</w:t>
      </w:r>
      <w:r w:rsidR="0062490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ení (hmotnost, výška, TK,…)</w:t>
      </w:r>
    </w:p>
    <w:p w14:paraId="65B835B6" w14:textId="77777777" w:rsidR="000F4E6B" w:rsidRDefault="000F4E6B" w:rsidP="00F90803">
      <w:pPr>
        <w:pStyle w:val="Odstavecseseznamem1"/>
        <w:numPr>
          <w:ilvl w:val="3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lastRenderedPageBreak/>
        <w:t>M</w:t>
      </w:r>
      <w:r w:rsidR="00F90803"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edikace</w:t>
      </w: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– časování,</w:t>
      </w:r>
      <w:r w:rsidR="00F90803"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způsob podání</w:t>
      </w:r>
      <w:r w:rsidR="00EF1F2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, </w:t>
      </w:r>
    </w:p>
    <w:p w14:paraId="2C84CB96" w14:textId="18BE1534" w:rsidR="00F90803" w:rsidRDefault="00200F30" w:rsidP="00200F30">
      <w:pPr>
        <w:pStyle w:val="Odstavecseseznamem1"/>
        <w:numPr>
          <w:ilvl w:val="4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Po </w:t>
      </w:r>
      <w:proofErr w:type="spellStart"/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rozkliknutí</w:t>
      </w:r>
      <w:proofErr w:type="spellEnd"/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v novém okně</w:t>
      </w:r>
      <w:r w:rsidR="00AC70B0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historie</w:t>
      </w:r>
      <w:r w:rsidR="00EF1F2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podávání </w:t>
      </w:r>
      <w:r w:rsidR="002E26F6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konkrétního léčiva </w:t>
      </w:r>
      <w:r w:rsidR="00F0600A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–</w:t>
      </w:r>
      <w:r w:rsidR="002E26F6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r w:rsidR="00F0600A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rozpis dávkování po jednotlivých dnech, možnost výběru data od-do</w:t>
      </w:r>
    </w:p>
    <w:p w14:paraId="4F403000" w14:textId="017C8CDC" w:rsidR="001641F2" w:rsidRDefault="00964A89" w:rsidP="00200F30">
      <w:pPr>
        <w:pStyle w:val="Odstavecseseznamem1"/>
        <w:numPr>
          <w:ilvl w:val="4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Možnost porovnání medi</w:t>
      </w:r>
      <w:r w:rsidR="002C3EEC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kace ve dvou dnech dle výběru data (i </w:t>
      </w:r>
      <w:r w:rsidR="005672BE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lékovou anamnézu)</w:t>
      </w:r>
      <w:r w:rsidR="00547F02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, vizuální rozlišení</w:t>
      </w:r>
      <w:r w:rsidR="00293C60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:</w:t>
      </w:r>
    </w:p>
    <w:p w14:paraId="223496AF" w14:textId="5F617D10" w:rsidR="00293C60" w:rsidRDefault="00293C60" w:rsidP="00293C60">
      <w:pPr>
        <w:pStyle w:val="Odstavecseseznamem1"/>
        <w:numPr>
          <w:ilvl w:val="5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Stejná ATC </w:t>
      </w:r>
      <w:proofErr w:type="spellStart"/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skupina+stejné</w:t>
      </w:r>
      <w:proofErr w:type="spellEnd"/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dávkování</w:t>
      </w:r>
      <w:r w:rsidR="006220B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– v obou tabulkách označit zeleně</w:t>
      </w:r>
    </w:p>
    <w:p w14:paraId="3A07AF78" w14:textId="7F272339" w:rsidR="006220B3" w:rsidRDefault="006220B3" w:rsidP="00293C60">
      <w:pPr>
        <w:pStyle w:val="Odstavecseseznamem1"/>
        <w:numPr>
          <w:ilvl w:val="5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Stejná ATC </w:t>
      </w:r>
      <w:proofErr w:type="spellStart"/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skupina+jiné</w:t>
      </w:r>
      <w:proofErr w:type="spellEnd"/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dávkování – v obou tabulkách označit žlutě</w:t>
      </w:r>
    </w:p>
    <w:p w14:paraId="1B7F2DFB" w14:textId="39A35D5A" w:rsidR="009D06CC" w:rsidRPr="00F90803" w:rsidRDefault="006D0FDF" w:rsidP="00293C60">
      <w:pPr>
        <w:pStyle w:val="Odstavecseseznamem1"/>
        <w:numPr>
          <w:ilvl w:val="5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ATC skupina jen v jedné tabulce – označit červeně</w:t>
      </w:r>
      <w:r w:rsidR="00233134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(př. Přidání nového léčiva, vysazení léčiva</w:t>
      </w:r>
      <w:r w:rsidR="0075730C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)</w:t>
      </w:r>
    </w:p>
    <w:p w14:paraId="7D8310B5" w14:textId="59ED2042" w:rsidR="00F90803" w:rsidRDefault="003541D4" w:rsidP="00F90803">
      <w:pPr>
        <w:pStyle w:val="Odstavecseseznamem1"/>
        <w:numPr>
          <w:ilvl w:val="3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L</w:t>
      </w:r>
      <w:r w:rsidR="00F90803"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aboratorní hodnot</w:t>
      </w: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y</w:t>
      </w:r>
    </w:p>
    <w:p w14:paraId="78FB76FD" w14:textId="6D914B47" w:rsidR="00607E5F" w:rsidRDefault="00607E5F" w:rsidP="00607E5F">
      <w:pPr>
        <w:pStyle w:val="Odstavecseseznamem1"/>
        <w:numPr>
          <w:ilvl w:val="4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Barevné zvýraznění – hodnoty v</w:t>
      </w:r>
      <w:r w:rsidR="0053785E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 rozmezí zeleně, hodnoty mimo rozmezí červeně</w:t>
      </w:r>
    </w:p>
    <w:p w14:paraId="7A01C372" w14:textId="4BB33EE2" w:rsidR="00DC4AE1" w:rsidRDefault="00DC4AE1" w:rsidP="00607E5F">
      <w:pPr>
        <w:pStyle w:val="Odstavecseseznamem1"/>
        <w:numPr>
          <w:ilvl w:val="4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Po najetí kurzorem na danou hodnotu zobrazit </w:t>
      </w:r>
      <w:r w:rsidR="00482B0A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laboratorní rozmezí </w:t>
      </w:r>
      <w:r w:rsidR="000C6A5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vč. </w:t>
      </w:r>
      <w:r w:rsidR="001C1471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j</w:t>
      </w:r>
      <w:r w:rsidR="000C6A5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ednotek (dle laboratoře NemJi)</w:t>
      </w:r>
    </w:p>
    <w:p w14:paraId="5FADA9B2" w14:textId="0DD938BE" w:rsidR="00845CE6" w:rsidRPr="00F90803" w:rsidRDefault="00845CE6" w:rsidP="00607E5F">
      <w:pPr>
        <w:pStyle w:val="Odstavecseseznamem1"/>
        <w:numPr>
          <w:ilvl w:val="4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Možnost vzájemného porovnání vybraných hodnot</w:t>
      </w:r>
      <w:r w:rsidR="00F2622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r w:rsidR="001236AA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(i </w:t>
      </w:r>
      <w:proofErr w:type="spellStart"/>
      <w:r w:rsidR="001236AA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multiple</w:t>
      </w:r>
      <w:proofErr w:type="spellEnd"/>
      <w:r w:rsidR="0043529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proofErr w:type="spellStart"/>
      <w:r w:rsidR="0043529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choice</w:t>
      </w:r>
      <w:proofErr w:type="spellEnd"/>
      <w:r w:rsidR="0043529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) </w:t>
      </w:r>
      <w:r w:rsidR="00F2622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dle výběru data </w:t>
      </w:r>
      <w:r w:rsidR="00F2298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od-do</w:t>
      </w:r>
      <w:r w:rsidR="0043529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v novém okně</w:t>
      </w:r>
      <w:r w:rsidR="00D81D4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(hodnoty označeny taky barevně viz výše</w:t>
      </w:r>
      <w:r w:rsidR="00986AA1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a možnost zobrazení rozmezí viz výše)</w:t>
      </w:r>
    </w:p>
    <w:p w14:paraId="45E16560" w14:textId="2022DB28" w:rsidR="00002827" w:rsidRDefault="00F90803" w:rsidP="00F90803">
      <w:pPr>
        <w:pStyle w:val="Odstavecseseznamem1"/>
        <w:numPr>
          <w:ilvl w:val="3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proofErr w:type="spellStart"/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Dekurzy</w:t>
      </w:r>
      <w:proofErr w:type="spellEnd"/>
    </w:p>
    <w:p w14:paraId="743E480C" w14:textId="06F4A027" w:rsidR="003656C2" w:rsidRDefault="00D9539D" w:rsidP="00F90803">
      <w:pPr>
        <w:pStyle w:val="Odstavecseseznamem1"/>
        <w:numPr>
          <w:ilvl w:val="3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Možnost zaslání upozornění na vybrané </w:t>
      </w:r>
      <w:r w:rsidR="00934CD1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laboratorní výsledky, </w:t>
      </w: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výsledky </w:t>
      </w:r>
      <w:r w:rsidR="00934CD1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vyšetření.</w:t>
      </w:r>
    </w:p>
    <w:p w14:paraId="2824DA14" w14:textId="108127D2" w:rsidR="00F90803" w:rsidRDefault="00F90803" w:rsidP="00002827">
      <w:pPr>
        <w:pStyle w:val="Odstavecseseznamem1"/>
        <w:ind w:left="2880"/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F90803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</w:p>
    <w:p w14:paraId="66CA7518" w14:textId="6503F608" w:rsidR="00827043" w:rsidRPr="00C1375F" w:rsidRDefault="003F0320" w:rsidP="00065D53">
      <w:pPr>
        <w:pStyle w:val="Odstavecseseznamem1"/>
        <w:numPr>
          <w:ilvl w:val="1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C1375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Zhodnocení </w:t>
      </w:r>
      <w:r w:rsidR="00F757D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medikace klinickým farmaceutem</w:t>
      </w:r>
      <w:r w:rsidR="00097E38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r w:rsidR="00F757D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v </w:t>
      </w:r>
      <w:r w:rsidR="00097E38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samostatné</w:t>
      </w:r>
      <w:r w:rsidR="00F757D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</w:t>
      </w:r>
      <w:r w:rsidR="00097E38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okn</w:t>
      </w:r>
      <w:r w:rsidR="00F757D9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ě</w:t>
      </w:r>
      <w:r w:rsidRPr="00C1375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r w:rsidR="006A5DA8" w:rsidRPr="00C1375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–</w:t>
      </w:r>
      <w:r w:rsidRPr="00C1375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</w:t>
      </w:r>
      <w:r w:rsidR="006A5DA8" w:rsidRPr="00C1375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zvláštní tabulka</w:t>
      </w:r>
      <w:r w:rsidR="0090371B" w:rsidRPr="00C1375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s možností vyplnění následujících </w:t>
      </w:r>
      <w:r w:rsidR="00490F34" w:rsidRPr="00C1375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kritérií </w:t>
      </w:r>
      <w:r w:rsidR="00EC034A" w:rsidRPr="00C1375F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ke konkrétnímu datu</w:t>
      </w:r>
    </w:p>
    <w:p w14:paraId="00310166" w14:textId="77777777" w:rsidR="00003614" w:rsidRDefault="009A1463" w:rsidP="00003614">
      <w:pPr>
        <w:pStyle w:val="Odstavecseseznamem1"/>
        <w:numPr>
          <w:ilvl w:val="2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Rizikové faktory</w:t>
      </w:r>
    </w:p>
    <w:p w14:paraId="3054B7C9" w14:textId="603B9BF9" w:rsidR="00003614" w:rsidRDefault="00003614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P</w:t>
      </w:r>
      <w:r w:rsidR="00152E66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olypragmazie</w:t>
      </w:r>
    </w:p>
    <w:p w14:paraId="2652CD0E" w14:textId="77777777" w:rsidR="00003614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léčivo s úzkým terapeutickým oknem </w:t>
      </w:r>
    </w:p>
    <w:p w14:paraId="328E2139" w14:textId="77777777" w:rsidR="00003614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léčivo s vysokým interakčním potenciálem</w:t>
      </w:r>
    </w:p>
    <w:p w14:paraId="10D90B89" w14:textId="77777777" w:rsidR="00003614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renální insuficience – hodnota glomerulární filtrace je rovna nebo menší než 30 ml/min</w:t>
      </w:r>
      <w:r w:rsidR="00493CCF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</w:t>
      </w:r>
      <w:r w:rsidR="00493CCF" w:rsidRPr="0028662D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(0,5ml/s)</w:t>
      </w:r>
    </w:p>
    <w:p w14:paraId="7911891C" w14:textId="77777777" w:rsidR="00003614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laboratorní známky </w:t>
      </w:r>
      <w:proofErr w:type="spellStart"/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hepatální</w:t>
      </w:r>
      <w:proofErr w:type="spellEnd"/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insuficience – albumin &lt; 20 g/l, ALT, AST, GMT, bilirubin nad trojnásobek horní hranice normy</w:t>
      </w:r>
    </w:p>
    <w:p w14:paraId="1C2A3E49" w14:textId="77777777" w:rsidR="00003614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další významné změny biochemických a/nebo hematologických parametrů</w:t>
      </w:r>
    </w:p>
    <w:p w14:paraId="6CD9F091" w14:textId="77777777" w:rsidR="00003614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lastRenderedPageBreak/>
        <w:t>pacient v intenzivní péči</w:t>
      </w:r>
    </w:p>
    <w:p w14:paraId="42F124A5" w14:textId="77777777" w:rsidR="00003614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diabetes </w:t>
      </w:r>
      <w:proofErr w:type="spellStart"/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mellitus</w:t>
      </w:r>
      <w:proofErr w:type="spellEnd"/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(dle MKN: E10 – E14) – na terapii PAD a/nebo inzulínu</w:t>
      </w:r>
    </w:p>
    <w:p w14:paraId="28212536" w14:textId="77777777" w:rsidR="00003614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epilepsie (dle MKN: G40, G41) na terapii antiepileptiky</w:t>
      </w:r>
    </w:p>
    <w:p w14:paraId="7401D052" w14:textId="77777777" w:rsidR="00003614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fibrilace síní (I48)</w:t>
      </w:r>
    </w:p>
    <w:p w14:paraId="0DBD8EC6" w14:textId="77777777" w:rsidR="00003614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nádorové onemocnění (dle MKN: C) – kurativní nebo paliativní farmakoterapie</w:t>
      </w:r>
    </w:p>
    <w:p w14:paraId="067735F7" w14:textId="77777777" w:rsidR="00876FAA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pacient s dlouhodobou (déle než 1 týden) léčbou systémovými kortikoidy nebo jinými </w:t>
      </w:r>
      <w:proofErr w:type="spellStart"/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imunosupresivy</w:t>
      </w:r>
      <w:proofErr w:type="spellEnd"/>
    </w:p>
    <w:p w14:paraId="390ABD07" w14:textId="265DF0DD" w:rsidR="00003614" w:rsidRDefault="00152E66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pacient s parkinsonským syndromem (dle MKN: G20, G21)</w:t>
      </w:r>
    </w:p>
    <w:p w14:paraId="52BA9D9B" w14:textId="77777777" w:rsidR="00003614" w:rsidRDefault="00003614" w:rsidP="00003614">
      <w:pPr>
        <w:pStyle w:val="Odstavecseseznamem1"/>
        <w:spacing w:after="150" w:line="360" w:lineRule="auto"/>
        <w:ind w:left="2160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</w:p>
    <w:p w14:paraId="5BA8AFA7" w14:textId="44C87721" w:rsidR="00003614" w:rsidRDefault="009410CE" w:rsidP="00003614">
      <w:pPr>
        <w:pStyle w:val="Odstavecseseznamem1"/>
        <w:numPr>
          <w:ilvl w:val="2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Míra rizikovosti pacienta</w:t>
      </w:r>
      <w:r w:rsidR="007632BA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</w:t>
      </w:r>
      <w:r w:rsidR="00072820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–</w:t>
      </w:r>
      <w:r w:rsidR="007632BA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</w:t>
      </w:r>
      <w:r w:rsidR="00072820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označení</w:t>
      </w:r>
      <w:r w:rsidR="00F31AE9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rizikovosti </w:t>
      </w:r>
      <w:r w:rsidR="00072820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pacienta</w:t>
      </w:r>
      <w:r w:rsidR="00F31AE9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viditelné i v celkovém přehledu pacientů na oddělení</w:t>
      </w:r>
      <w:r w:rsidR="00A323E3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(barevné rozlišení)</w:t>
      </w:r>
    </w:p>
    <w:p w14:paraId="285DE33A" w14:textId="4D7BFE31" w:rsidR="00003614" w:rsidRDefault="00BB0F95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Pacient v nízkém riziku lék. </w:t>
      </w:r>
      <w:proofErr w:type="gramStart"/>
      <w:r w:rsidR="00645179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p</w:t>
      </w: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roblému</w:t>
      </w:r>
      <w:proofErr w:type="gramEnd"/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během hospitalizace</w:t>
      </w:r>
      <w:r w:rsidR="00096CAB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(</w:t>
      </w:r>
      <w:r w:rsidR="00AC3051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písmeno N na zeleném podkladě</w:t>
      </w:r>
      <w:r w:rsidR="00096CAB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)</w:t>
      </w:r>
    </w:p>
    <w:p w14:paraId="02F2A326" w14:textId="528990EE" w:rsidR="00003614" w:rsidRDefault="00BB0F95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Pac. </w:t>
      </w:r>
      <w:proofErr w:type="gramStart"/>
      <w:r w:rsidR="00645179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v</w:t>
      </w: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e</w:t>
      </w:r>
      <w:proofErr w:type="gramEnd"/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středním riziku lék. </w:t>
      </w:r>
      <w:r w:rsidR="00645179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p</w:t>
      </w: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roblému během hospitalizace</w:t>
      </w:r>
      <w:r w:rsidR="00AC3051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(písmeno S na žlutém podkladě)</w:t>
      </w:r>
    </w:p>
    <w:p w14:paraId="60FB40B7" w14:textId="7EA2089F" w:rsidR="00003614" w:rsidRDefault="00BB0F95" w:rsidP="00003614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Pac. </w:t>
      </w:r>
      <w:proofErr w:type="gramStart"/>
      <w:r w:rsidR="00645179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v</w:t>
      </w: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e</w:t>
      </w:r>
      <w:proofErr w:type="gramEnd"/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vysokém riziku lék. </w:t>
      </w:r>
      <w:r w:rsidR="00645179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p</w:t>
      </w: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roblému během hospitalizace</w:t>
      </w:r>
      <w:r w:rsidR="00AC3051"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(písmeno V na červeném podkladě)</w:t>
      </w:r>
    </w:p>
    <w:p w14:paraId="3C7D7DBE" w14:textId="77777777" w:rsidR="00003614" w:rsidRDefault="00003614" w:rsidP="00003614">
      <w:pPr>
        <w:pStyle w:val="Odstavecseseznamem1"/>
        <w:spacing w:after="150" w:line="360" w:lineRule="auto"/>
        <w:ind w:left="2880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</w:p>
    <w:p w14:paraId="68FC2D35" w14:textId="5325EE42" w:rsidR="00645179" w:rsidRDefault="00A84136" w:rsidP="00645179">
      <w:pPr>
        <w:pStyle w:val="Odstavecseseznamem1"/>
        <w:numPr>
          <w:ilvl w:val="2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003614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Vykázání výkonů</w:t>
      </w:r>
      <w:r w:rsidR="00E33A0E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-</w:t>
      </w:r>
      <w:r w:rsidR="00B9370A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 xml:space="preserve"> </w:t>
      </w:r>
      <w:r w:rsidR="00E33A0E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označení pacienta příslušným číslem výkonu</w:t>
      </w:r>
    </w:p>
    <w:p w14:paraId="39CCB24B" w14:textId="77777777" w:rsidR="00645179" w:rsidRDefault="00B023FF" w:rsidP="00645179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645179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05751</w:t>
      </w:r>
    </w:p>
    <w:p w14:paraId="51AA8536" w14:textId="77777777" w:rsidR="00645179" w:rsidRDefault="00B023FF" w:rsidP="00645179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645179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05753</w:t>
      </w:r>
    </w:p>
    <w:p w14:paraId="114A7AED" w14:textId="7CE0A86E" w:rsidR="00B023FF" w:rsidRPr="00645179" w:rsidRDefault="00B023FF" w:rsidP="00645179">
      <w:pPr>
        <w:pStyle w:val="Odstavecseseznamem1"/>
        <w:numPr>
          <w:ilvl w:val="3"/>
          <w:numId w:val="4"/>
        </w:numPr>
        <w:spacing w:after="150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645179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05755</w:t>
      </w:r>
    </w:p>
    <w:p w14:paraId="73416432" w14:textId="77777777" w:rsidR="00645179" w:rsidRDefault="00645179" w:rsidP="00315A0B">
      <w:pPr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</w:p>
    <w:p w14:paraId="655CCC51" w14:textId="2931B6DF" w:rsidR="00315A0B" w:rsidRPr="00315A0B" w:rsidRDefault="00315A0B" w:rsidP="00315A0B">
      <w:pPr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  <w:t>KONZILIÁRNÍ ČINNOST</w:t>
      </w:r>
    </w:p>
    <w:p w14:paraId="34172734" w14:textId="2682682F" w:rsidR="00315A0B" w:rsidRPr="00315A0B" w:rsidRDefault="00315A0B" w:rsidP="00315A0B">
      <w:pPr>
        <w:pStyle w:val="Odstavecseseznamem1"/>
        <w:numPr>
          <w:ilvl w:val="0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Na vyžádání lékaře</w:t>
      </w:r>
    </w:p>
    <w:p w14:paraId="7747BF51" w14:textId="77777777" w:rsidR="00315A0B" w:rsidRPr="00315A0B" w:rsidRDefault="00315A0B" w:rsidP="00315A0B">
      <w:pPr>
        <w:pStyle w:val="Odstavecseseznamem1"/>
        <w:numPr>
          <w:ilvl w:val="1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Možnost lékaře zadat pacienta k farmakoterapeutické konzultaci</w:t>
      </w:r>
    </w:p>
    <w:p w14:paraId="1EAEC93E" w14:textId="7B5FEF0E" w:rsidR="001B4BF5" w:rsidRDefault="00150500" w:rsidP="00315A0B">
      <w:pPr>
        <w:pStyle w:val="Odstavecseseznamem1"/>
        <w:numPr>
          <w:ilvl w:val="1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Upozornění klin. farmaceuta na zadané konzilium.</w:t>
      </w:r>
    </w:p>
    <w:p w14:paraId="168386EE" w14:textId="2D93EB18" w:rsidR="00315A0B" w:rsidRPr="00315A0B" w:rsidRDefault="00315A0B" w:rsidP="00315A0B">
      <w:pPr>
        <w:pStyle w:val="Odstavecseseznamem1"/>
        <w:numPr>
          <w:ilvl w:val="1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Přístup do pacientovy karty</w:t>
      </w:r>
      <w: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– </w:t>
      </w:r>
      <w:r w:rsidR="00087B65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možnosti viz systematické </w:t>
      </w:r>
      <w:r w:rsidR="00C64CB6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hodnocení</w:t>
      </w:r>
    </w:p>
    <w:p w14:paraId="4EDC1FB8" w14:textId="6452D287" w:rsidR="00315A0B" w:rsidRPr="00315A0B" w:rsidRDefault="00315A0B" w:rsidP="00315A0B">
      <w:pPr>
        <w:pStyle w:val="Odstavecseseznamem1"/>
        <w:numPr>
          <w:ilvl w:val="1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Záznam o provedení doporučení, možnost zpětné reakce lékaře</w:t>
      </w:r>
    </w:p>
    <w:p w14:paraId="6DB9A5B7" w14:textId="77777777" w:rsidR="00315A0B" w:rsidRPr="00315A0B" w:rsidRDefault="00315A0B" w:rsidP="00315A0B">
      <w:pPr>
        <w:pStyle w:val="Odstavecseseznamem1"/>
        <w:numPr>
          <w:ilvl w:val="3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K doporučení vložit zařazení (označení) typu intervence (kategorizace intervencí) - pro vnitřní potřebu a statistické zhodnocení</w:t>
      </w:r>
    </w:p>
    <w:p w14:paraId="06174F73" w14:textId="77777777" w:rsidR="00315A0B" w:rsidRPr="00315A0B" w:rsidRDefault="00315A0B" w:rsidP="00315A0B">
      <w:pPr>
        <w:pStyle w:val="Odstavecseseznamem1"/>
        <w:numPr>
          <w:ilvl w:val="3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Možnost označení, zda byla intervence akceptována lékařem</w:t>
      </w:r>
    </w:p>
    <w:p w14:paraId="474FACE5" w14:textId="77777777" w:rsidR="00315A0B" w:rsidRPr="00315A0B" w:rsidRDefault="00315A0B" w:rsidP="00315A0B">
      <w:pPr>
        <w:pStyle w:val="Odstavecseseznamem1"/>
        <w:numPr>
          <w:ilvl w:val="3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lastRenderedPageBreak/>
        <w:t>Možnost statistického zpracování provedených intervencí</w:t>
      </w:r>
    </w:p>
    <w:p w14:paraId="56A896EB" w14:textId="77777777" w:rsidR="00315A0B" w:rsidRPr="00315A0B" w:rsidRDefault="00315A0B" w:rsidP="00315A0B">
      <w:pPr>
        <w:pStyle w:val="Odstavecseseznamem1"/>
        <w:ind w:left="0"/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</w:p>
    <w:p w14:paraId="1CB2AB63" w14:textId="77777777" w:rsidR="00315A0B" w:rsidRPr="00315A0B" w:rsidRDefault="00315A0B" w:rsidP="00315A0B">
      <w:pPr>
        <w:pStyle w:val="Odstavecseseznamem1"/>
        <w:numPr>
          <w:ilvl w:val="1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Možnost označení přístupu k intervenci – zda bude pouze interní pro lékaře oddělení, nebo bude otevřená všem včetně přenesení do propouštěcí zprávy</w:t>
      </w:r>
    </w:p>
    <w:p w14:paraId="0D65ABAA" w14:textId="77777777" w:rsidR="00315A0B" w:rsidRPr="00315A0B" w:rsidRDefault="00315A0B" w:rsidP="00315A0B">
      <w:pPr>
        <w:pStyle w:val="Odstavecseseznamem1"/>
        <w:numPr>
          <w:ilvl w:val="1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Možnost exportu dat a tisk</w:t>
      </w:r>
    </w:p>
    <w:p w14:paraId="1077632A" w14:textId="77777777" w:rsidR="00315A0B" w:rsidRPr="00315A0B" w:rsidRDefault="00315A0B" w:rsidP="00315A0B">
      <w:pPr>
        <w:pStyle w:val="Odstavecseseznamem1"/>
        <w:ind w:left="0"/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</w:p>
    <w:p w14:paraId="4F2403E5" w14:textId="77777777" w:rsidR="00315A0B" w:rsidRPr="00315A0B" w:rsidRDefault="00315A0B" w:rsidP="00315A0B">
      <w:pPr>
        <w:pStyle w:val="Odstavecseseznamem1"/>
        <w:numPr>
          <w:ilvl w:val="0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Na vyžádání ambulantního pacienta</w:t>
      </w:r>
    </w:p>
    <w:p w14:paraId="33B64687" w14:textId="2D2BA20F" w:rsidR="00315A0B" w:rsidRDefault="00315A0B" w:rsidP="00315A0B">
      <w:pPr>
        <w:pStyle w:val="Odstavecseseznamem1"/>
        <w:numPr>
          <w:ilvl w:val="1"/>
          <w:numId w:val="3"/>
        </w:numPr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Záznam o konzultační činnosti v lékárně (s možností nahlédnou</w:t>
      </w:r>
      <w:r w:rsidR="00D87892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>t</w:t>
      </w:r>
      <w:r w:rsidRPr="00315A0B"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  <w:t xml:space="preserve"> do pacientovy karty)</w:t>
      </w:r>
    </w:p>
    <w:p w14:paraId="3C21F522" w14:textId="5C7A5427" w:rsidR="00757379" w:rsidRDefault="00757379" w:rsidP="00757379">
      <w:pPr>
        <w:pStyle w:val="Odstavecseseznamem1"/>
        <w:ind w:left="0"/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</w:p>
    <w:p w14:paraId="5BFB4E5B" w14:textId="77777777" w:rsidR="00757379" w:rsidRPr="00315A0B" w:rsidRDefault="00757379" w:rsidP="00757379">
      <w:pPr>
        <w:pStyle w:val="Odstavecseseznamem1"/>
        <w:ind w:left="0"/>
        <w:rPr>
          <w:rFonts w:ascii="Helvetica" w:eastAsia="Times New Roman" w:hAnsi="Helvetica" w:cs="Helvetica"/>
          <w:color w:val="333333"/>
          <w:kern w:val="0"/>
          <w:sz w:val="23"/>
          <w:szCs w:val="23"/>
          <w:lang w:eastAsia="cs-CZ"/>
        </w:rPr>
      </w:pPr>
    </w:p>
    <w:p w14:paraId="2B9A2EB5" w14:textId="77777777" w:rsidR="0056449E" w:rsidRPr="00624D6F" w:rsidRDefault="0056449E" w:rsidP="00624D6F">
      <w:pPr>
        <w:spacing w:before="100" w:beforeAutospacing="1" w:after="100" w:afterAutospacing="1" w:line="360" w:lineRule="auto"/>
        <w:rPr>
          <w:rFonts w:ascii="Helvetica" w:eastAsia="Times New Roman" w:hAnsi="Helvetica" w:cs="Helvetica"/>
          <w:color w:val="333333"/>
          <w:sz w:val="23"/>
          <w:szCs w:val="23"/>
          <w:lang w:eastAsia="cs-CZ"/>
        </w:rPr>
      </w:pPr>
    </w:p>
    <w:sectPr w:rsidR="0056449E" w:rsidRPr="00624D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49027" w14:textId="77777777" w:rsidR="00D55981" w:rsidRDefault="00D55981" w:rsidP="00A66F4C">
      <w:pPr>
        <w:spacing w:after="0" w:line="240" w:lineRule="auto"/>
      </w:pPr>
      <w:r>
        <w:separator/>
      </w:r>
    </w:p>
  </w:endnote>
  <w:endnote w:type="continuationSeparator" w:id="0">
    <w:p w14:paraId="08164F8D" w14:textId="77777777" w:rsidR="00D55981" w:rsidRDefault="00D55981" w:rsidP="00A66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Droid Sans Fallback">
    <w:altName w:val="MS Gothic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FD059" w14:textId="77777777" w:rsidR="00A66F4C" w:rsidRDefault="00A66F4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61A54" w14:textId="77777777" w:rsidR="00A66F4C" w:rsidRDefault="00A66F4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47A1A" w14:textId="77777777" w:rsidR="00A66F4C" w:rsidRDefault="00A66F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D6349" w14:textId="77777777" w:rsidR="00D55981" w:rsidRDefault="00D55981" w:rsidP="00A66F4C">
      <w:pPr>
        <w:spacing w:after="0" w:line="240" w:lineRule="auto"/>
      </w:pPr>
      <w:r>
        <w:separator/>
      </w:r>
    </w:p>
  </w:footnote>
  <w:footnote w:type="continuationSeparator" w:id="0">
    <w:p w14:paraId="0E87BD7A" w14:textId="77777777" w:rsidR="00D55981" w:rsidRDefault="00D55981" w:rsidP="00A66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1616F" w14:textId="77777777" w:rsidR="00A66F4C" w:rsidRDefault="00A66F4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CDC88" w14:textId="01F966CF" w:rsidR="00A66F4C" w:rsidRPr="008047F5" w:rsidRDefault="00981FF4" w:rsidP="00A66F4C">
    <w:pPr>
      <w:pStyle w:val="Zhlav"/>
      <w:rPr>
        <w:sz w:val="24"/>
        <w:szCs w:val="24"/>
      </w:rPr>
    </w:pPr>
    <w:r>
      <w:rPr>
        <w:sz w:val="24"/>
        <w:szCs w:val="24"/>
      </w:rPr>
      <w:t xml:space="preserve">Příloha č. </w:t>
    </w:r>
    <w:r>
      <w:rPr>
        <w:sz w:val="24"/>
        <w:szCs w:val="24"/>
      </w:rPr>
      <w:t>13</w:t>
    </w:r>
    <w:r w:rsidR="00A66F4C">
      <w:rPr>
        <w:sz w:val="24"/>
        <w:szCs w:val="24"/>
      </w:rPr>
      <w:t>e</w:t>
    </w:r>
    <w:r w:rsidR="00A66F4C" w:rsidRPr="008047F5">
      <w:rPr>
        <w:sz w:val="24"/>
        <w:szCs w:val="24"/>
      </w:rPr>
      <w:t xml:space="preserve"> </w:t>
    </w:r>
    <w:r w:rsidR="00B4073C" w:rsidRPr="00B4073C">
      <w:rPr>
        <w:sz w:val="24"/>
        <w:szCs w:val="24"/>
      </w:rPr>
      <w:t xml:space="preserve">dokumentace zadávacího </w:t>
    </w:r>
    <w:r w:rsidR="00B4073C" w:rsidRPr="00B4073C">
      <w:rPr>
        <w:sz w:val="24"/>
        <w:szCs w:val="24"/>
      </w:rPr>
      <w:t>řízení</w:t>
    </w:r>
    <w:bookmarkStart w:id="0" w:name="_GoBack"/>
    <w:bookmarkEnd w:id="0"/>
  </w:p>
  <w:p w14:paraId="714EE1F7" w14:textId="77777777" w:rsidR="00A66F4C" w:rsidRDefault="00A66F4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E39DB" w14:textId="77777777" w:rsidR="00A66F4C" w:rsidRDefault="00A66F4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76588F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8BB31AB"/>
    <w:multiLevelType w:val="multilevel"/>
    <w:tmpl w:val="78D4D5E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">
    <w:nsid w:val="09570825"/>
    <w:multiLevelType w:val="multilevel"/>
    <w:tmpl w:val="A9D286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">
    <w:nsid w:val="11790A37"/>
    <w:multiLevelType w:val="hybridMultilevel"/>
    <w:tmpl w:val="42BEE6FE"/>
    <w:lvl w:ilvl="0" w:tplc="0405000F">
      <w:start w:val="1"/>
      <w:numFmt w:val="decimal"/>
      <w:lvlText w:val="%1."/>
      <w:lvlJc w:val="left"/>
      <w:pPr>
        <w:ind w:left="3192" w:hanging="360"/>
      </w:p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F245406"/>
    <w:multiLevelType w:val="multilevel"/>
    <w:tmpl w:val="05EEBEA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6">
    <w:nsid w:val="1F967609"/>
    <w:multiLevelType w:val="multilevel"/>
    <w:tmpl w:val="05EEBEA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7">
    <w:nsid w:val="41F477A3"/>
    <w:multiLevelType w:val="hybridMultilevel"/>
    <w:tmpl w:val="E708D4E8"/>
    <w:lvl w:ilvl="0" w:tplc="0405000F">
      <w:start w:val="1"/>
      <w:numFmt w:val="decimal"/>
      <w:lvlText w:val="%1."/>
      <w:lvlJc w:val="left"/>
      <w:pPr>
        <w:ind w:left="1215" w:hanging="360"/>
      </w:p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5032596A"/>
    <w:multiLevelType w:val="multilevel"/>
    <w:tmpl w:val="E02A6F8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5E7A6B"/>
    <w:multiLevelType w:val="hybridMultilevel"/>
    <w:tmpl w:val="717652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61EAD"/>
    <w:multiLevelType w:val="hybridMultilevel"/>
    <w:tmpl w:val="334EC72C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4A94050"/>
    <w:multiLevelType w:val="hybridMultilevel"/>
    <w:tmpl w:val="DFA2D8EA"/>
    <w:lvl w:ilvl="0" w:tplc="0405000F">
      <w:start w:val="1"/>
      <w:numFmt w:val="decimal"/>
      <w:lvlText w:val="%1.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>
    <w:nsid w:val="78676CC6"/>
    <w:multiLevelType w:val="hybridMultilevel"/>
    <w:tmpl w:val="7FA45F36"/>
    <w:lvl w:ilvl="0" w:tplc="0405000F">
      <w:start w:val="1"/>
      <w:numFmt w:val="decimal"/>
      <w:lvlText w:val="%1.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10"/>
  </w:num>
  <w:num w:numId="8">
    <w:abstractNumId w:val="6"/>
  </w:num>
  <w:num w:numId="9">
    <w:abstractNumId w:val="3"/>
  </w:num>
  <w:num w:numId="10">
    <w:abstractNumId w:val="12"/>
  </w:num>
  <w:num w:numId="11">
    <w:abstractNumId w:val="11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66"/>
    <w:rsid w:val="00002827"/>
    <w:rsid w:val="00003614"/>
    <w:rsid w:val="00034E00"/>
    <w:rsid w:val="00072820"/>
    <w:rsid w:val="00087B65"/>
    <w:rsid w:val="00096CAB"/>
    <w:rsid w:val="00097E38"/>
    <w:rsid w:val="000C6A59"/>
    <w:rsid w:val="000F4E6B"/>
    <w:rsid w:val="00107392"/>
    <w:rsid w:val="001236AA"/>
    <w:rsid w:val="00146AA2"/>
    <w:rsid w:val="00150500"/>
    <w:rsid w:val="00152E66"/>
    <w:rsid w:val="00163AA8"/>
    <w:rsid w:val="001641F2"/>
    <w:rsid w:val="0017160B"/>
    <w:rsid w:val="0017337B"/>
    <w:rsid w:val="001B4BF5"/>
    <w:rsid w:val="001C1471"/>
    <w:rsid w:val="001C33F1"/>
    <w:rsid w:val="00200F30"/>
    <w:rsid w:val="00215145"/>
    <w:rsid w:val="00233134"/>
    <w:rsid w:val="0025034F"/>
    <w:rsid w:val="0028662D"/>
    <w:rsid w:val="00293C60"/>
    <w:rsid w:val="002C3EEC"/>
    <w:rsid w:val="002E26F6"/>
    <w:rsid w:val="00304B76"/>
    <w:rsid w:val="003159B9"/>
    <w:rsid w:val="00315A0B"/>
    <w:rsid w:val="003506C8"/>
    <w:rsid w:val="003541D4"/>
    <w:rsid w:val="003656C2"/>
    <w:rsid w:val="003B2CEC"/>
    <w:rsid w:val="003D49C5"/>
    <w:rsid w:val="003F0320"/>
    <w:rsid w:val="00421D35"/>
    <w:rsid w:val="0043529B"/>
    <w:rsid w:val="00482B0A"/>
    <w:rsid w:val="00490F34"/>
    <w:rsid w:val="00493CCF"/>
    <w:rsid w:val="004D0945"/>
    <w:rsid w:val="004E4D54"/>
    <w:rsid w:val="00526FE0"/>
    <w:rsid w:val="0053785E"/>
    <w:rsid w:val="00547F02"/>
    <w:rsid w:val="0056449E"/>
    <w:rsid w:val="005672BE"/>
    <w:rsid w:val="005D3701"/>
    <w:rsid w:val="005E7923"/>
    <w:rsid w:val="00607E5F"/>
    <w:rsid w:val="006220B3"/>
    <w:rsid w:val="00624904"/>
    <w:rsid w:val="00624D6F"/>
    <w:rsid w:val="00645179"/>
    <w:rsid w:val="006A5DA8"/>
    <w:rsid w:val="006D0FDF"/>
    <w:rsid w:val="00702261"/>
    <w:rsid w:val="00742072"/>
    <w:rsid w:val="0075730C"/>
    <w:rsid w:val="00757379"/>
    <w:rsid w:val="0076137B"/>
    <w:rsid w:val="007632BA"/>
    <w:rsid w:val="00774CCB"/>
    <w:rsid w:val="00794E4F"/>
    <w:rsid w:val="007A59A2"/>
    <w:rsid w:val="007C511A"/>
    <w:rsid w:val="007F24FC"/>
    <w:rsid w:val="007F7261"/>
    <w:rsid w:val="0082054D"/>
    <w:rsid w:val="00827043"/>
    <w:rsid w:val="00845CE6"/>
    <w:rsid w:val="00864114"/>
    <w:rsid w:val="00876FAA"/>
    <w:rsid w:val="008D74C4"/>
    <w:rsid w:val="008F55AF"/>
    <w:rsid w:val="0090371B"/>
    <w:rsid w:val="00934CD1"/>
    <w:rsid w:val="00935C2C"/>
    <w:rsid w:val="009410CE"/>
    <w:rsid w:val="00964A89"/>
    <w:rsid w:val="00981FF4"/>
    <w:rsid w:val="00986AA1"/>
    <w:rsid w:val="00987367"/>
    <w:rsid w:val="009A1463"/>
    <w:rsid w:val="009D06CC"/>
    <w:rsid w:val="009D67C3"/>
    <w:rsid w:val="009E0C9A"/>
    <w:rsid w:val="009F0025"/>
    <w:rsid w:val="00A00479"/>
    <w:rsid w:val="00A323E3"/>
    <w:rsid w:val="00A66F4C"/>
    <w:rsid w:val="00A84136"/>
    <w:rsid w:val="00A84A2C"/>
    <w:rsid w:val="00A84AE8"/>
    <w:rsid w:val="00A84C46"/>
    <w:rsid w:val="00AC3051"/>
    <w:rsid w:val="00AC5418"/>
    <w:rsid w:val="00AC70B0"/>
    <w:rsid w:val="00B023FF"/>
    <w:rsid w:val="00B24985"/>
    <w:rsid w:val="00B4073C"/>
    <w:rsid w:val="00B53F1C"/>
    <w:rsid w:val="00B77002"/>
    <w:rsid w:val="00B9370A"/>
    <w:rsid w:val="00B96279"/>
    <w:rsid w:val="00B975AA"/>
    <w:rsid w:val="00BB0F95"/>
    <w:rsid w:val="00BC35A5"/>
    <w:rsid w:val="00BE2586"/>
    <w:rsid w:val="00C1375F"/>
    <w:rsid w:val="00C176E7"/>
    <w:rsid w:val="00C64CB6"/>
    <w:rsid w:val="00CE2697"/>
    <w:rsid w:val="00CE3706"/>
    <w:rsid w:val="00D55981"/>
    <w:rsid w:val="00D6109F"/>
    <w:rsid w:val="00D81D49"/>
    <w:rsid w:val="00D87892"/>
    <w:rsid w:val="00D9539D"/>
    <w:rsid w:val="00DC4AE1"/>
    <w:rsid w:val="00DD7CCE"/>
    <w:rsid w:val="00DF44CD"/>
    <w:rsid w:val="00E33A0E"/>
    <w:rsid w:val="00E66250"/>
    <w:rsid w:val="00E750B8"/>
    <w:rsid w:val="00EC034A"/>
    <w:rsid w:val="00EF1F29"/>
    <w:rsid w:val="00F032E5"/>
    <w:rsid w:val="00F0600A"/>
    <w:rsid w:val="00F2298F"/>
    <w:rsid w:val="00F25F69"/>
    <w:rsid w:val="00F26229"/>
    <w:rsid w:val="00F31AE9"/>
    <w:rsid w:val="00F757D9"/>
    <w:rsid w:val="00F90803"/>
    <w:rsid w:val="00FE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84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152E66"/>
    <w:pPr>
      <w:spacing w:before="300" w:after="150" w:line="240" w:lineRule="auto"/>
      <w:outlineLvl w:val="2"/>
    </w:pPr>
    <w:rPr>
      <w:rFonts w:ascii="inherit" w:eastAsia="Times New Roman" w:hAnsi="inherit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52E66"/>
    <w:rPr>
      <w:rFonts w:ascii="inherit" w:eastAsia="Times New Roman" w:hAnsi="inherit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152E66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152E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152E66"/>
    <w:rPr>
      <w:i/>
      <w:iCs/>
    </w:rPr>
  </w:style>
  <w:style w:type="paragraph" w:customStyle="1" w:styleId="Odstavecseseznamem1">
    <w:name w:val="Odstavec se seznamem1"/>
    <w:basedOn w:val="Normln"/>
    <w:rsid w:val="00F90803"/>
    <w:pPr>
      <w:suppressAutoHyphens/>
      <w:spacing w:after="200" w:line="276" w:lineRule="auto"/>
      <w:ind w:left="720"/>
      <w:contextualSpacing/>
    </w:pPr>
    <w:rPr>
      <w:rFonts w:ascii="Calibri" w:eastAsia="Droid Sans Fallback" w:hAnsi="Calibri" w:cs="Calibri"/>
      <w:kern w:val="1"/>
    </w:rPr>
  </w:style>
  <w:style w:type="paragraph" w:styleId="Odstavecseseznamem">
    <w:name w:val="List Paragraph"/>
    <w:basedOn w:val="Normln"/>
    <w:uiPriority w:val="34"/>
    <w:qFormat/>
    <w:rsid w:val="00A00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6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62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66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6F4C"/>
  </w:style>
  <w:style w:type="paragraph" w:styleId="Zpat">
    <w:name w:val="footer"/>
    <w:basedOn w:val="Normln"/>
    <w:link w:val="ZpatChar"/>
    <w:uiPriority w:val="99"/>
    <w:unhideWhenUsed/>
    <w:rsid w:val="00A66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152E66"/>
    <w:pPr>
      <w:spacing w:before="300" w:after="150" w:line="240" w:lineRule="auto"/>
      <w:outlineLvl w:val="2"/>
    </w:pPr>
    <w:rPr>
      <w:rFonts w:ascii="inherit" w:eastAsia="Times New Roman" w:hAnsi="inherit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52E66"/>
    <w:rPr>
      <w:rFonts w:ascii="inherit" w:eastAsia="Times New Roman" w:hAnsi="inherit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152E66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152E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152E66"/>
    <w:rPr>
      <w:i/>
      <w:iCs/>
    </w:rPr>
  </w:style>
  <w:style w:type="paragraph" w:customStyle="1" w:styleId="Odstavecseseznamem1">
    <w:name w:val="Odstavec se seznamem1"/>
    <w:basedOn w:val="Normln"/>
    <w:rsid w:val="00F90803"/>
    <w:pPr>
      <w:suppressAutoHyphens/>
      <w:spacing w:after="200" w:line="276" w:lineRule="auto"/>
      <w:ind w:left="720"/>
      <w:contextualSpacing/>
    </w:pPr>
    <w:rPr>
      <w:rFonts w:ascii="Calibri" w:eastAsia="Droid Sans Fallback" w:hAnsi="Calibri" w:cs="Calibri"/>
      <w:kern w:val="1"/>
    </w:rPr>
  </w:style>
  <w:style w:type="paragraph" w:styleId="Odstavecseseznamem">
    <w:name w:val="List Paragraph"/>
    <w:basedOn w:val="Normln"/>
    <w:uiPriority w:val="34"/>
    <w:qFormat/>
    <w:rsid w:val="00A00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6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62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66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6F4C"/>
  </w:style>
  <w:style w:type="paragraph" w:styleId="Zpat">
    <w:name w:val="footer"/>
    <w:basedOn w:val="Normln"/>
    <w:link w:val="ZpatChar"/>
    <w:uiPriority w:val="99"/>
    <w:unhideWhenUsed/>
    <w:rsid w:val="00A66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95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666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Žáková Renata,Mgr.</dc:creator>
  <cp:keywords/>
  <dc:description/>
  <cp:lastModifiedBy>Veselá Iveta Ing.</cp:lastModifiedBy>
  <cp:revision>134</cp:revision>
  <dcterms:created xsi:type="dcterms:W3CDTF">2019-07-19T08:53:00Z</dcterms:created>
  <dcterms:modified xsi:type="dcterms:W3CDTF">2019-11-06T20:02:00Z</dcterms:modified>
</cp:coreProperties>
</file>