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bookmarkStart w:id="0" w:name="_GoBack"/>
      <w:bookmarkEnd w:id="0"/>
      <w:r w:rsidRPr="00C91DE9">
        <w:rPr>
          <w:rFonts w:ascii="Arial" w:hAnsi="Arial" w:cs="Arial"/>
        </w:rPr>
        <w:t>SMLOUVA O PROVEDENÍ VEŘEJNÉ ZAKÁZKY</w:t>
      </w:r>
    </w:p>
    <w:p w:rsidR="00624BAC" w:rsidRPr="0019621C" w:rsidRDefault="0019621C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„II/387 Koroužné, opěrná zeď, PD“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  <w:r w:rsidR="00DC42A6">
        <w:rPr>
          <w:b/>
          <w:color w:val="auto"/>
        </w:rPr>
        <w:t xml:space="preserve"> 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Žižkova </w:t>
      </w:r>
      <w:r w:rsidR="00E32D3F">
        <w:rPr>
          <w:rFonts w:ascii="Arial" w:eastAsia="MS Mincho" w:hAnsi="Arial" w:cs="Arial"/>
          <w:sz w:val="22"/>
          <w:szCs w:val="22"/>
        </w:rPr>
        <w:t>1882/</w:t>
      </w:r>
      <w:r w:rsidR="00AA3C81" w:rsidRPr="00BD1B2E">
        <w:rPr>
          <w:rFonts w:ascii="Arial" w:eastAsia="MS Mincho" w:hAnsi="Arial" w:cs="Arial"/>
          <w:sz w:val="22"/>
          <w:szCs w:val="22"/>
        </w:rPr>
        <w:t>57, 58</w:t>
      </w:r>
      <w:r w:rsidR="00E32D3F">
        <w:rPr>
          <w:rFonts w:ascii="Arial" w:eastAsia="MS Mincho" w:hAnsi="Arial" w:cs="Arial"/>
          <w:sz w:val="22"/>
          <w:szCs w:val="22"/>
        </w:rPr>
        <w:t>6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</w:t>
      </w:r>
      <w:r w:rsidR="00E32D3F">
        <w:rPr>
          <w:rFonts w:ascii="Arial" w:eastAsia="MS Mincho" w:hAnsi="Arial" w:cs="Arial"/>
          <w:sz w:val="22"/>
          <w:szCs w:val="22"/>
        </w:rPr>
        <w:t>01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Jihlava</w:t>
      </w:r>
    </w:p>
    <w:p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8203CE">
        <w:rPr>
          <w:rFonts w:ascii="Arial" w:eastAsia="MS Mincho" w:hAnsi="Arial" w:cs="Arial"/>
          <w:sz w:val="22"/>
          <w:szCs w:val="22"/>
        </w:rPr>
        <w:t>:</w:t>
      </w:r>
      <w:r w:rsidR="008203CE">
        <w:rPr>
          <w:rFonts w:ascii="Arial" w:eastAsia="MS Mincho" w:hAnsi="Arial" w:cs="Arial"/>
          <w:sz w:val="22"/>
          <w:szCs w:val="22"/>
        </w:rPr>
        <w:tab/>
        <w:t xml:space="preserve">                       Mgr. Vítězslavem Schrekem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</w:t>
      </w:r>
      <w:r w:rsidR="00E32D3F">
        <w:rPr>
          <w:rFonts w:ascii="Arial" w:eastAsia="MS Mincho" w:hAnsi="Arial" w:cs="Arial"/>
          <w:sz w:val="22"/>
          <w:szCs w:val="22"/>
        </w:rPr>
        <w:t xml:space="preserve">MBA, </w:t>
      </w:r>
      <w:r w:rsidR="00BD1B2E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="008203CE">
        <w:rPr>
          <w:rFonts w:ascii="Arial" w:eastAsia="MS Mincho" w:hAnsi="Arial" w:cs="Arial"/>
          <w:sz w:val="22"/>
          <w:szCs w:val="22"/>
          <w:lang w:eastAsia="ar-SA"/>
        </w:rPr>
        <w:t>Ing. Miroslav Houška, náměstek Hejtmana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DC42A6">
        <w:rPr>
          <w:rFonts w:ascii="Arial" w:eastAsia="MS Mincho" w:hAnsi="Arial" w:cs="Arial"/>
          <w:sz w:val="22"/>
          <w:szCs w:val="22"/>
        </w:rPr>
        <w:t>Miroslav Dokulil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 w:rsidRPr="00DF3C11">
        <w:rPr>
          <w:rFonts w:ascii="Arial" w:hAnsi="Arial" w:cs="Arial"/>
          <w:sz w:val="22"/>
          <w:szCs w:val="22"/>
        </w:rPr>
        <w:t>40</w:t>
      </w:r>
      <w:r w:rsidR="00F64DB3" w:rsidRPr="00DF3C11">
        <w:rPr>
          <w:rFonts w:ascii="Arial" w:hAnsi="Arial" w:cs="Arial"/>
          <w:sz w:val="22"/>
          <w:szCs w:val="22"/>
        </w:rPr>
        <w:t>5</w:t>
      </w:r>
      <w:r w:rsidR="001C4839" w:rsidRPr="00DF3C11">
        <w:rPr>
          <w:rFonts w:ascii="Arial" w:hAnsi="Arial" w:cs="Arial"/>
          <w:sz w:val="22"/>
          <w:szCs w:val="22"/>
        </w:rPr>
        <w:t>00</w:t>
      </w:r>
      <w:r w:rsidR="00F64DB3" w:rsidRPr="00DF3C11">
        <w:rPr>
          <w:rFonts w:ascii="Arial" w:hAnsi="Arial" w:cs="Arial"/>
          <w:sz w:val="22"/>
          <w:szCs w:val="22"/>
        </w:rPr>
        <w:t>0</w:t>
      </w:r>
      <w:r w:rsidR="001C4839" w:rsidRPr="00DF3C11">
        <w:rPr>
          <w:rFonts w:ascii="Arial" w:hAnsi="Arial" w:cs="Arial"/>
          <w:sz w:val="22"/>
          <w:szCs w:val="22"/>
        </w:rPr>
        <w:t>5</w:t>
      </w:r>
      <w:r w:rsidR="00F64DB3" w:rsidRPr="00DF3C11">
        <w:rPr>
          <w:rFonts w:ascii="Arial" w:hAnsi="Arial" w:cs="Arial"/>
          <w:sz w:val="22"/>
          <w:szCs w:val="22"/>
        </w:rPr>
        <w:t>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19621C" w:rsidRPr="00FA0C4F">
        <w:rPr>
          <w:rFonts w:ascii="Arial" w:hAnsi="Arial" w:cs="Arial"/>
          <w:b/>
          <w:sz w:val="22"/>
          <w:szCs w:val="22"/>
        </w:rPr>
        <w:t>„</w:t>
      </w:r>
      <w:r w:rsidR="0019621C" w:rsidRPr="0019621C">
        <w:rPr>
          <w:rFonts w:ascii="Arial" w:hAnsi="Arial" w:cs="Arial"/>
          <w:b/>
          <w:sz w:val="22"/>
          <w:szCs w:val="22"/>
        </w:rPr>
        <w:t>II/387 Koroužné, opěrná zeď,</w:t>
      </w:r>
      <w:r w:rsidR="002B1F04">
        <w:rPr>
          <w:rFonts w:ascii="Arial" w:hAnsi="Arial" w:cs="Arial"/>
          <w:b/>
          <w:sz w:val="22"/>
          <w:szCs w:val="22"/>
        </w:rPr>
        <w:t xml:space="preserve"> </w:t>
      </w:r>
      <w:r w:rsidR="008203CE" w:rsidRPr="0019621C">
        <w:rPr>
          <w:rFonts w:ascii="Arial" w:hAnsi="Arial" w:cs="Arial"/>
          <w:b/>
          <w:sz w:val="22"/>
          <w:szCs w:val="22"/>
        </w:rPr>
        <w:t>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DC42A6">
        <w:rPr>
          <w:rFonts w:ascii="Arial" w:hAnsi="Arial" w:cs="Arial"/>
          <w:sz w:val="22"/>
          <w:szCs w:val="22"/>
        </w:rPr>
        <w:t xml:space="preserve">povolení,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A348FA">
        <w:rPr>
          <w:rFonts w:ascii="Arial" w:hAnsi="Arial" w:cs="Arial"/>
          <w:sz w:val="22"/>
          <w:szCs w:val="22"/>
        </w:rPr>
        <w:t xml:space="preserve">prací a rozpočtu akce </w:t>
      </w:r>
      <w:r w:rsidR="00A348FA" w:rsidRPr="002B1F04">
        <w:rPr>
          <w:rFonts w:ascii="Arial" w:hAnsi="Arial" w:cs="Arial"/>
          <w:sz w:val="22"/>
          <w:szCs w:val="22"/>
        </w:rPr>
        <w:t>„</w:t>
      </w:r>
      <w:r w:rsidR="002B1F04" w:rsidRPr="002B1F04">
        <w:rPr>
          <w:rFonts w:ascii="Arial" w:hAnsi="Arial" w:cs="Arial"/>
          <w:sz w:val="22"/>
          <w:szCs w:val="22"/>
        </w:rPr>
        <w:t>II/387 Koroužné, opěrná zeď</w:t>
      </w:r>
      <w:r w:rsidR="009F4929" w:rsidRPr="002B1F04">
        <w:rPr>
          <w:rFonts w:ascii="Arial" w:hAnsi="Arial" w:cs="Arial"/>
          <w:sz w:val="22"/>
          <w:szCs w:val="22"/>
        </w:rPr>
        <w:t>“.</w:t>
      </w:r>
      <w:r w:rsidR="009F4929" w:rsidRPr="00483F3D">
        <w:rPr>
          <w:rFonts w:ascii="Arial" w:hAnsi="Arial" w:cs="Arial"/>
          <w:sz w:val="22"/>
          <w:szCs w:val="22"/>
        </w:rPr>
        <w:t xml:space="preserve">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:rsidR="00F64DB3" w:rsidRDefault="0035398E" w:rsidP="009F4929">
      <w:pPr>
        <w:jc w:val="both"/>
        <w:rPr>
          <w:rFonts w:ascii="Arial" w:hAnsi="Arial" w:cs="Arial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495477">
        <w:rPr>
          <w:rFonts w:ascii="Arial" w:hAnsi="Arial" w:cs="Arial"/>
          <w:sz w:val="22"/>
          <w:szCs w:val="22"/>
        </w:rPr>
        <w:t>objednatel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F64DB3" w:rsidRPr="00495477">
        <w:rPr>
          <w:rFonts w:ascii="Arial" w:hAnsi="Arial" w:cs="Arial"/>
          <w:sz w:val="22"/>
          <w:szCs w:val="22"/>
        </w:rPr>
        <w:t>rozhodnutí.</w:t>
      </w:r>
    </w:p>
    <w:p w:rsidR="00A348FA" w:rsidRDefault="00A348FA" w:rsidP="009F4929">
      <w:pPr>
        <w:jc w:val="both"/>
        <w:rPr>
          <w:rFonts w:ascii="Arial" w:hAnsi="Arial" w:cs="Arial"/>
          <w:sz w:val="22"/>
          <w:szCs w:val="22"/>
        </w:rPr>
      </w:pPr>
    </w:p>
    <w:p w:rsidR="00A348FA" w:rsidRPr="00570DC3" w:rsidRDefault="00570DC3" w:rsidP="00DF3C1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859D5">
        <w:rPr>
          <w:rFonts w:ascii="Arial" w:hAnsi="Arial" w:cs="Arial"/>
          <w:sz w:val="22"/>
          <w:szCs w:val="22"/>
        </w:rPr>
        <w:t>Předmětem projekčních prací je rekonstrukce opěrné zdi  silnice II/387 v km 3,390 – 3,690   před obcí Koroužné a výstavba nové opěrné zdi v km 5,220 – 5,300 provozního staničení za obcí Koroužné včetně  nezbytných úprav vozovky silnice II/387.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</w:t>
      </w:r>
      <w:r w:rsidR="00C96950">
        <w:rPr>
          <w:rFonts w:ascii="Arial" w:hAnsi="Arial"/>
          <w:bCs/>
          <w:sz w:val="22"/>
        </w:rPr>
        <w:t>pro zpracování projektové dokumentace</w:t>
      </w:r>
    </w:p>
    <w:p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:rsidR="00585EDC" w:rsidRPr="00DD0AD1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1067D7" w:rsidRPr="008B5C49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:rsidR="001067D7" w:rsidRPr="00D9747E" w:rsidRDefault="001067D7" w:rsidP="001067D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</w:t>
      </w:r>
      <w:r w:rsidR="00C93158">
        <w:rPr>
          <w:rFonts w:ascii="Arial" w:hAnsi="Arial" w:cs="Arial"/>
          <w:sz w:val="22"/>
          <w:szCs w:val="22"/>
        </w:rPr>
        <w:t xml:space="preserve"> </w:t>
      </w:r>
    </w:p>
    <w:p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lastRenderedPageBreak/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:rsidR="001067D7" w:rsidRPr="001742AD" w:rsidRDefault="00C96950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havarijní </w:t>
      </w:r>
      <w:r w:rsidR="001067D7" w:rsidRPr="001742AD">
        <w:rPr>
          <w:rFonts w:ascii="Arial" w:hAnsi="Arial" w:cs="Arial"/>
          <w:bCs/>
          <w:sz w:val="22"/>
          <w:szCs w:val="22"/>
        </w:rPr>
        <w:t xml:space="preserve"> plán </w:t>
      </w:r>
    </w:p>
    <w:p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:rsidR="00284F47" w:rsidRPr="0049547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:rsidR="001067D7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 w:rsidR="00284F47">
        <w:rPr>
          <w:rFonts w:ascii="Arial" w:hAnsi="Arial" w:cs="Arial"/>
          <w:bCs/>
          <w:sz w:val="22"/>
          <w:szCs w:val="22"/>
        </w:rPr>
        <w:t>diagnostik</w:t>
      </w:r>
      <w:r w:rsidR="00A948C5">
        <w:rPr>
          <w:rFonts w:ascii="Arial" w:hAnsi="Arial" w:cs="Arial"/>
          <w:bCs/>
          <w:sz w:val="22"/>
          <w:szCs w:val="22"/>
        </w:rPr>
        <w:t>a</w:t>
      </w:r>
      <w:r w:rsidR="00284F47">
        <w:rPr>
          <w:rFonts w:ascii="Arial" w:hAnsi="Arial" w:cs="Arial"/>
          <w:bCs/>
          <w:sz w:val="22"/>
          <w:szCs w:val="22"/>
        </w:rPr>
        <w:t xml:space="preserve">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284F47" w:rsidRPr="00284F47" w:rsidRDefault="00284F47" w:rsidP="00284F4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1067D7" w:rsidRPr="00CF39E1" w:rsidRDefault="001067D7" w:rsidP="001067D7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CF31A0" w:rsidRDefault="00CF31A0" w:rsidP="00CF31A0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CF31A0" w:rsidRDefault="00CF31A0" w:rsidP="00CF31A0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D86C3B" w:rsidRPr="00E11E43" w:rsidRDefault="00E11E43" w:rsidP="00E11E4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495477" w:rsidRDefault="00975028" w:rsidP="00447D6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>zpracovávaných v rámci realizační dokumentace z pohledu dodržení technicko-ekonomických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17474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51C92">
        <w:rPr>
          <w:rFonts w:ascii="Arial" w:hAnsi="Arial" w:cs="Arial"/>
          <w:sz w:val="22"/>
          <w:szCs w:val="22"/>
        </w:rPr>
        <w:t>1</w:t>
      </w:r>
      <w:r w:rsidR="00BF6329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F64806" w:rsidRPr="00447D66">
        <w:rPr>
          <w:rFonts w:ascii="Arial" w:hAnsi="Arial" w:cs="Arial"/>
          <w:spacing w:val="6"/>
          <w:sz w:val="22"/>
          <w:szCs w:val="22"/>
        </w:rPr>
        <w:t>4</w:t>
      </w:r>
      <w:r w:rsidR="00215613" w:rsidRPr="00495477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>hod</w:t>
      </w:r>
      <w:r w:rsidR="006F1553">
        <w:rPr>
          <w:rFonts w:ascii="Arial" w:hAnsi="Arial" w:cs="Arial"/>
          <w:spacing w:val="6"/>
          <w:sz w:val="22"/>
          <w:szCs w:val="22"/>
        </w:rPr>
        <w:t xml:space="preserve">, </w:t>
      </w:r>
      <w:r w:rsidR="006F1553" w:rsidRPr="00447D66">
        <w:rPr>
          <w:rFonts w:ascii="Arial" w:hAnsi="Arial" w:cs="Arial"/>
          <w:spacing w:val="6"/>
          <w:sz w:val="22"/>
          <w:szCs w:val="22"/>
        </w:rPr>
        <w:t>případně kancelářské práce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lastRenderedPageBreak/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9503B9" w:rsidRPr="009503B9" w:rsidRDefault="009503B9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090D0F" w:rsidRPr="00090D0F" w:rsidRDefault="00090D0F" w:rsidP="00090D0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570DC3">
        <w:rPr>
          <w:rFonts w:ascii="Arial" w:hAnsi="Arial" w:cs="Arial"/>
          <w:sz w:val="22"/>
          <w:szCs w:val="22"/>
          <w:lang w:val="pl-PL"/>
        </w:rPr>
        <w:t>6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vypořádání 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objednatele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lastRenderedPageBreak/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2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>měsíců od vypracování DUSP</w:t>
      </w:r>
    </w:p>
    <w:p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9503B9" w:rsidRPr="009503B9" w:rsidRDefault="009503B9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664EC">
        <w:rPr>
          <w:rFonts w:ascii="Arial" w:hAnsi="Arial" w:cs="Arial"/>
          <w:sz w:val="22"/>
          <w:szCs w:val="22"/>
        </w:rPr>
        <w:t xml:space="preserve">rozsahu </w:t>
      </w:r>
      <w:r w:rsidR="00651C92" w:rsidRPr="00D664EC">
        <w:rPr>
          <w:rFonts w:ascii="Arial" w:hAnsi="Arial" w:cs="Arial"/>
          <w:sz w:val="22"/>
          <w:szCs w:val="22"/>
        </w:rPr>
        <w:t>60</w:t>
      </w:r>
      <w:r w:rsidRPr="00D664EC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 </w:t>
      </w:r>
      <w:r w:rsidR="001D46BE">
        <w:rPr>
          <w:rFonts w:ascii="Arial" w:hAnsi="Arial" w:cs="Arial"/>
          <w:sz w:val="22"/>
          <w:szCs w:val="22"/>
        </w:rPr>
        <w:t>1</w:t>
      </w:r>
      <w:r w:rsidR="00B8750F">
        <w:rPr>
          <w:rFonts w:ascii="Arial" w:hAnsi="Arial" w:cs="Arial"/>
          <w:sz w:val="22"/>
          <w:szCs w:val="22"/>
        </w:rPr>
        <w:t>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0264DF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 w:rsidR="00B8750F">
        <w:rPr>
          <w:rFonts w:ascii="Arial" w:hAnsi="Arial" w:cs="Arial"/>
          <w:sz w:val="22"/>
          <w:szCs w:val="22"/>
        </w:rPr>
        <w:t xml:space="preserve"> (případně práce v kanceláři požadovaná objednatelem).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9503B9" w:rsidRDefault="009503B9" w:rsidP="007F5A3F">
      <w:pPr>
        <w:rPr>
          <w:rFonts w:ascii="Arial" w:hAnsi="Arial" w:cs="Arial"/>
          <w:sz w:val="22"/>
          <w:szCs w:val="22"/>
          <w:u w:val="single"/>
        </w:rPr>
      </w:pPr>
    </w:p>
    <w:p w:rsidR="009503B9" w:rsidRDefault="009503B9" w:rsidP="007F5A3F">
      <w:pPr>
        <w:rPr>
          <w:rFonts w:ascii="Arial" w:hAnsi="Arial" w:cs="Arial"/>
          <w:sz w:val="22"/>
          <w:szCs w:val="22"/>
          <w:u w:val="single"/>
        </w:rPr>
      </w:pPr>
    </w:p>
    <w:p w:rsidR="009503B9" w:rsidRDefault="009503B9" w:rsidP="007F5A3F">
      <w:pPr>
        <w:rPr>
          <w:rFonts w:ascii="Arial" w:hAnsi="Arial" w:cs="Arial"/>
          <w:sz w:val="22"/>
          <w:szCs w:val="22"/>
          <w:u w:val="single"/>
        </w:rPr>
      </w:pPr>
    </w:p>
    <w:p w:rsidR="009503B9" w:rsidRDefault="009503B9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lastRenderedPageBreak/>
        <w:t>Z toho cena jednotlivých částí plnění:</w:t>
      </w:r>
    </w:p>
    <w:p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:rsidR="00D90F7F" w:rsidRDefault="00D90F7F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</w:p>
    <w:p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</w:t>
      </w:r>
      <w:r w:rsidR="00DC6C0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)</w:t>
      </w:r>
    </w:p>
    <w:p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lastRenderedPageBreak/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4B4926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</w:t>
      </w:r>
      <w:r w:rsidRPr="002B1F04">
        <w:rPr>
          <w:color w:val="auto"/>
        </w:rPr>
        <w:t xml:space="preserve">zdanitelné plnění přímo příslušnému správci daně. </w:t>
      </w:r>
      <w:r w:rsidR="004B3CC3" w:rsidRPr="002B1F04">
        <w:rPr>
          <w:color w:val="auto"/>
        </w:rPr>
        <w:t>Objednatelem</w:t>
      </w:r>
      <w:r w:rsidRPr="002B1F04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 w:rsidRPr="004B4926">
        <w:rPr>
          <w:color w:val="auto"/>
        </w:rPr>
        <w:t>Zhotovitelem</w:t>
      </w:r>
      <w:r w:rsidRPr="004B4926">
        <w:rPr>
          <w:color w:val="auto"/>
        </w:rPr>
        <w:t>.</w:t>
      </w:r>
      <w:r w:rsidR="005C0A2C" w:rsidRPr="004B4926">
        <w:rPr>
          <w:color w:val="auto"/>
        </w:rPr>
        <w:t xml:space="preserve"> </w:t>
      </w:r>
    </w:p>
    <w:p w:rsidR="009152D5" w:rsidRPr="004B4926" w:rsidRDefault="009152D5" w:rsidP="00447D6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4802B1" w:rsidRPr="002B1F04" w:rsidRDefault="00C4146A" w:rsidP="009503B9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2"/>
        </w:rPr>
      </w:pPr>
      <w:r w:rsidRPr="004B4926">
        <w:rPr>
          <w:color w:val="auto"/>
          <w:spacing w:val="-2"/>
        </w:rPr>
        <w:t>Kromě povinných náležito</w:t>
      </w:r>
      <w:r w:rsidR="00DE12ED" w:rsidRPr="004B4926">
        <w:rPr>
          <w:color w:val="auto"/>
          <w:spacing w:val="-2"/>
        </w:rPr>
        <w:t xml:space="preserve">stí je </w:t>
      </w:r>
      <w:r w:rsidR="004B3CC3" w:rsidRPr="004B4926">
        <w:rPr>
          <w:color w:val="auto"/>
          <w:spacing w:val="-2"/>
        </w:rPr>
        <w:t>Zhotovitel</w:t>
      </w:r>
      <w:r w:rsidRPr="004B4926">
        <w:rPr>
          <w:color w:val="auto"/>
          <w:spacing w:val="-2"/>
        </w:rPr>
        <w:t xml:space="preserve"> povinen uvádět v jednotlivých fakturách přesný název akce </w:t>
      </w:r>
      <w:r w:rsidR="004802B1" w:rsidRPr="004B4926">
        <w:rPr>
          <w:color w:val="auto"/>
          <w:spacing w:val="-2"/>
        </w:rPr>
        <w:t>akce „</w:t>
      </w:r>
      <w:r w:rsidR="002B1F04" w:rsidRPr="004B4926">
        <w:rPr>
          <w:color w:val="auto"/>
        </w:rPr>
        <w:t>II/387 Koroužné, opěrná zeď, PD</w:t>
      </w:r>
      <w:r w:rsidR="004802B1" w:rsidRPr="004B4926">
        <w:rPr>
          <w:color w:val="auto"/>
        </w:rPr>
        <w:t>“.</w:t>
      </w:r>
      <w:r w:rsidR="004802B1" w:rsidRPr="002B1F04">
        <w:rPr>
          <w:color w:val="auto"/>
          <w:spacing w:val="-2"/>
        </w:rPr>
        <w:t xml:space="preserve"> </w:t>
      </w:r>
    </w:p>
    <w:p w:rsidR="00C4146A" w:rsidRPr="002B1F0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4B4926">
        <w:rPr>
          <w:color w:val="auto"/>
        </w:rPr>
        <w:t>Lhůta splatnosti faktur</w:t>
      </w:r>
      <w:r w:rsidRPr="00A7706B">
        <w:rPr>
          <w:color w:val="auto"/>
        </w:rPr>
        <w:t xml:space="preserve">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9503B9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9503B9" w:rsidRDefault="009503B9" w:rsidP="009503B9">
      <w:pPr>
        <w:pStyle w:val="Odstavecseseznamem"/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4802B1" w:rsidRDefault="004802B1" w:rsidP="004802B1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9503B9" w:rsidRPr="009503B9" w:rsidRDefault="009503B9" w:rsidP="00090D0F">
      <w:pPr>
        <w:spacing w:before="360" w:after="120" w:line="288" w:lineRule="auto"/>
        <w:jc w:val="center"/>
        <w:rPr>
          <w:rFonts w:ascii="Arial" w:hAnsi="Arial" w:cs="Arial"/>
          <w:b/>
          <w:sz w:val="2"/>
          <w:szCs w:val="2"/>
        </w:rPr>
      </w:pPr>
    </w:p>
    <w:p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F970AB" w:rsidRP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9503B9" w:rsidRPr="009503B9" w:rsidRDefault="009503B9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9503B9" w:rsidRPr="009503B9" w:rsidRDefault="009503B9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9503B9" w:rsidRDefault="009503B9" w:rsidP="009503B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9503B9" w:rsidRDefault="009503B9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Pr="00233C87" w:rsidRDefault="0093098A" w:rsidP="0093098A">
      <w:pPr>
        <w:pStyle w:val="Odstavecseseznamem"/>
        <w:rPr>
          <w:sz w:val="22"/>
          <w:szCs w:val="22"/>
        </w:rPr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lastRenderedPageBreak/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9503B9" w:rsidRPr="009503B9" w:rsidRDefault="009503B9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lastRenderedPageBreak/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1C664A" w:rsidRDefault="001C664A" w:rsidP="003E54C8">
      <w:pPr>
        <w:spacing w:line="264" w:lineRule="auto"/>
      </w:pPr>
    </w:p>
    <w:p w:rsidR="008D3E3B" w:rsidRPr="001C664A" w:rsidRDefault="008D3E3B" w:rsidP="003E54C8">
      <w:pPr>
        <w:spacing w:line="264" w:lineRule="auto"/>
      </w:pPr>
    </w:p>
    <w:p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AF4ACF" w:rsidRDefault="00AF4ACF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4802B1" w:rsidRDefault="004802B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4802B1">
        <w:rPr>
          <w:bCs/>
          <w:color w:val="auto"/>
        </w:rPr>
        <w:t>Ing. Miroslav Houška</w:t>
      </w:r>
      <w:r w:rsidR="00E22253" w:rsidRPr="004802B1">
        <w:rPr>
          <w:bCs/>
          <w:color w:val="auto"/>
        </w:rPr>
        <w:tab/>
      </w:r>
      <w:r w:rsidR="00534B28" w:rsidRPr="004802B1">
        <w:rPr>
          <w:bCs/>
          <w:color w:val="auto"/>
        </w:rPr>
        <w:t xml:space="preserve"> </w:t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</w:p>
    <w:p w:rsidR="00C4146A" w:rsidRPr="004802B1" w:rsidRDefault="004D251C" w:rsidP="00B4775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4802B1" w:rsidRPr="004802B1">
        <w:rPr>
          <w:rFonts w:ascii="Arial" w:hAnsi="Arial" w:cs="Arial"/>
          <w:bCs/>
          <w:sz w:val="22"/>
          <w:szCs w:val="22"/>
        </w:rPr>
        <w:t>áměstek hejtmana</w:t>
      </w:r>
      <w:r w:rsidR="00864A61" w:rsidRPr="004802B1">
        <w:rPr>
          <w:rFonts w:ascii="Arial" w:hAnsi="Arial" w:cs="Arial"/>
          <w:bCs/>
          <w:sz w:val="22"/>
          <w:szCs w:val="22"/>
        </w:rPr>
        <w:t xml:space="preserve">              </w:t>
      </w: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9C045E" w:rsidRDefault="009C045E" w:rsidP="00B47759">
      <w:pPr>
        <w:jc w:val="both"/>
        <w:rPr>
          <w:bCs/>
        </w:rPr>
      </w:pPr>
    </w:p>
    <w:sectPr w:rsidR="009C045E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9EB" w:rsidRDefault="001219EB">
      <w:r>
        <w:separator/>
      </w:r>
    </w:p>
  </w:endnote>
  <w:endnote w:type="continuationSeparator" w:id="0">
    <w:p w:rsidR="001219EB" w:rsidRDefault="001219EB">
      <w:r>
        <w:continuationSeparator/>
      </w:r>
    </w:p>
  </w:endnote>
  <w:endnote w:type="continuationNotice" w:id="1">
    <w:p w:rsidR="001219EB" w:rsidRDefault="001219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B4926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B4926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B492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B4926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9EB" w:rsidRDefault="001219EB">
      <w:r>
        <w:separator/>
      </w:r>
    </w:p>
  </w:footnote>
  <w:footnote w:type="continuationSeparator" w:id="0">
    <w:p w:rsidR="001219EB" w:rsidRDefault="001219EB">
      <w:r>
        <w:continuationSeparator/>
      </w:r>
    </w:p>
  </w:footnote>
  <w:footnote w:type="continuationNotice" w:id="1">
    <w:p w:rsidR="001219EB" w:rsidRDefault="001219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5585"/>
    <w:rsid w:val="00025A4F"/>
    <w:rsid w:val="000264DF"/>
    <w:rsid w:val="00027E70"/>
    <w:rsid w:val="000315EF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628B"/>
    <w:rsid w:val="00116908"/>
    <w:rsid w:val="001219EB"/>
    <w:rsid w:val="001221BA"/>
    <w:rsid w:val="00137877"/>
    <w:rsid w:val="00141E8D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92478"/>
    <w:rsid w:val="0019621C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0E5B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1F04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4A46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E64E0"/>
    <w:rsid w:val="003F4416"/>
    <w:rsid w:val="003F6C66"/>
    <w:rsid w:val="003F79A5"/>
    <w:rsid w:val="004063BF"/>
    <w:rsid w:val="00407DB6"/>
    <w:rsid w:val="00410628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6A83"/>
    <w:rsid w:val="00437BA6"/>
    <w:rsid w:val="004411CC"/>
    <w:rsid w:val="0044583D"/>
    <w:rsid w:val="00445958"/>
    <w:rsid w:val="00445B23"/>
    <w:rsid w:val="00447D66"/>
    <w:rsid w:val="00455DA7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02B1"/>
    <w:rsid w:val="00481A7B"/>
    <w:rsid w:val="00486FAF"/>
    <w:rsid w:val="004874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926"/>
    <w:rsid w:val="004B4EC4"/>
    <w:rsid w:val="004B6328"/>
    <w:rsid w:val="004C1F47"/>
    <w:rsid w:val="004D106B"/>
    <w:rsid w:val="004D1855"/>
    <w:rsid w:val="004D1918"/>
    <w:rsid w:val="004D251C"/>
    <w:rsid w:val="004D606A"/>
    <w:rsid w:val="004E00F2"/>
    <w:rsid w:val="004E171F"/>
    <w:rsid w:val="004E2038"/>
    <w:rsid w:val="004E2800"/>
    <w:rsid w:val="004E39E5"/>
    <w:rsid w:val="00503B60"/>
    <w:rsid w:val="00504CF3"/>
    <w:rsid w:val="00510A2D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0DC3"/>
    <w:rsid w:val="00572B81"/>
    <w:rsid w:val="00574917"/>
    <w:rsid w:val="00575786"/>
    <w:rsid w:val="00576228"/>
    <w:rsid w:val="00576947"/>
    <w:rsid w:val="00582203"/>
    <w:rsid w:val="00585EDC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1C92"/>
    <w:rsid w:val="00653420"/>
    <w:rsid w:val="00654B53"/>
    <w:rsid w:val="006551C9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90700"/>
    <w:rsid w:val="00691694"/>
    <w:rsid w:val="006919F0"/>
    <w:rsid w:val="006923EA"/>
    <w:rsid w:val="00692657"/>
    <w:rsid w:val="006947AB"/>
    <w:rsid w:val="00695186"/>
    <w:rsid w:val="00695DD9"/>
    <w:rsid w:val="00696969"/>
    <w:rsid w:val="006A0882"/>
    <w:rsid w:val="006A20EC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514EC"/>
    <w:rsid w:val="007620D1"/>
    <w:rsid w:val="00762347"/>
    <w:rsid w:val="007624CA"/>
    <w:rsid w:val="0076276E"/>
    <w:rsid w:val="00763A0A"/>
    <w:rsid w:val="00765B7C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12B6"/>
    <w:rsid w:val="007B50C3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412A"/>
    <w:rsid w:val="00804670"/>
    <w:rsid w:val="00807123"/>
    <w:rsid w:val="00810E31"/>
    <w:rsid w:val="00814E04"/>
    <w:rsid w:val="0081576A"/>
    <w:rsid w:val="008203CE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2636"/>
    <w:rsid w:val="009028FD"/>
    <w:rsid w:val="0090343A"/>
    <w:rsid w:val="00911A21"/>
    <w:rsid w:val="00912409"/>
    <w:rsid w:val="00913C28"/>
    <w:rsid w:val="009152D5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3B9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107"/>
    <w:rsid w:val="009A236A"/>
    <w:rsid w:val="009A4725"/>
    <w:rsid w:val="009A61E8"/>
    <w:rsid w:val="009C045E"/>
    <w:rsid w:val="009C469C"/>
    <w:rsid w:val="009D6B6D"/>
    <w:rsid w:val="009E2510"/>
    <w:rsid w:val="009F0C94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8FA"/>
    <w:rsid w:val="00A34D62"/>
    <w:rsid w:val="00A35234"/>
    <w:rsid w:val="00A3661E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4D0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632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3158"/>
    <w:rsid w:val="00C96950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6180"/>
    <w:rsid w:val="00CE7BCB"/>
    <w:rsid w:val="00CF1C32"/>
    <w:rsid w:val="00CF3195"/>
    <w:rsid w:val="00CF31A0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42A6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3C11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177A5"/>
    <w:rsid w:val="00E206A4"/>
    <w:rsid w:val="00E22253"/>
    <w:rsid w:val="00E225B8"/>
    <w:rsid w:val="00E228E3"/>
    <w:rsid w:val="00E325D1"/>
    <w:rsid w:val="00E32D3F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67A56"/>
    <w:rsid w:val="00E7088A"/>
    <w:rsid w:val="00E70A62"/>
    <w:rsid w:val="00E846E4"/>
    <w:rsid w:val="00E903FA"/>
    <w:rsid w:val="00E90780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806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03E0"/>
    <w:rsid w:val="00F923BA"/>
    <w:rsid w:val="00F9250C"/>
    <w:rsid w:val="00F927C4"/>
    <w:rsid w:val="00F93BA8"/>
    <w:rsid w:val="00F944B1"/>
    <w:rsid w:val="00F960C5"/>
    <w:rsid w:val="00F970AB"/>
    <w:rsid w:val="00F97E5F"/>
    <w:rsid w:val="00FA00C3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D7B24"/>
    <w:rsid w:val="00FE1523"/>
    <w:rsid w:val="00FE2385"/>
    <w:rsid w:val="00FE2BD0"/>
    <w:rsid w:val="00FE2F4D"/>
    <w:rsid w:val="00FE36CB"/>
    <w:rsid w:val="00FE49FE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E62546"/>
  <w15:docId w15:val="{959DFFFA-1A01-49A1-A9BE-D0B108DF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  <w:style w:type="character" w:customStyle="1" w:styleId="ProsttextChar">
    <w:name w:val="Prostý text Char"/>
    <w:link w:val="Prosttext"/>
    <w:rsid w:val="00C969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FB891-37BB-4B3F-998A-F5F5913C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5924</Words>
  <Characters>34953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10</cp:revision>
  <cp:lastPrinted>2020-05-19T08:29:00Z</cp:lastPrinted>
  <dcterms:created xsi:type="dcterms:W3CDTF">2021-03-30T07:35:00Z</dcterms:created>
  <dcterms:modified xsi:type="dcterms:W3CDTF">2021-04-09T07:37:00Z</dcterms:modified>
</cp:coreProperties>
</file>