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3D87" w14:textId="77777777" w:rsidR="00DF4E98" w:rsidRDefault="00DF4E98" w:rsidP="0025090D">
      <w:pPr>
        <w:spacing w:after="0" w:line="240" w:lineRule="auto"/>
      </w:pPr>
      <w:r>
        <w:separator/>
      </w:r>
    </w:p>
  </w:endnote>
  <w:endnote w:type="continuationSeparator" w:id="0">
    <w:p w14:paraId="362EE216" w14:textId="77777777" w:rsidR="00DF4E98" w:rsidRDefault="00DF4E98" w:rsidP="0025090D">
      <w:pPr>
        <w:spacing w:after="0" w:line="240" w:lineRule="auto"/>
      </w:pPr>
      <w:r>
        <w:continuationSeparator/>
      </w:r>
    </w:p>
  </w:endnote>
  <w:endnote w:type="continuationNotice" w:id="1">
    <w:p w14:paraId="199F3229" w14:textId="77777777" w:rsidR="00DF4E98" w:rsidRDefault="00DF4E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A21D" w14:textId="77777777" w:rsidR="00DF4E98" w:rsidRDefault="00DF4E98" w:rsidP="0025090D">
      <w:pPr>
        <w:spacing w:after="0" w:line="240" w:lineRule="auto"/>
      </w:pPr>
      <w:r>
        <w:separator/>
      </w:r>
    </w:p>
  </w:footnote>
  <w:footnote w:type="continuationSeparator" w:id="0">
    <w:p w14:paraId="5ED88456" w14:textId="77777777" w:rsidR="00DF4E98" w:rsidRDefault="00DF4E98" w:rsidP="0025090D">
      <w:pPr>
        <w:spacing w:after="0" w:line="240" w:lineRule="auto"/>
      </w:pPr>
      <w:r>
        <w:continuationSeparator/>
      </w:r>
    </w:p>
  </w:footnote>
  <w:footnote w:type="continuationNotice" w:id="1">
    <w:p w14:paraId="15D3C2CF" w14:textId="77777777" w:rsidR="00DF4E98" w:rsidRDefault="00DF4E98">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2EF1"/>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4E98"/>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2021-05-14T09:27:00Z</dcterms:modified>
</cp:coreProperties>
</file>