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bookmarkStart w:id="0" w:name="_GoBack"/>
      <w:bookmarkEnd w:id="0"/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CF664E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III/1292 Obrataň, ul. Nádražní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9B2530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E90CBF">
        <w:rPr>
          <w:rFonts w:ascii="Arial" w:hAnsi="Arial" w:cs="Arial"/>
          <w:sz w:val="22"/>
          <w:szCs w:val="22"/>
        </w:rPr>
        <w:t>4050005000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CF664E">
        <w:rPr>
          <w:rFonts w:ascii="Arial" w:hAnsi="Arial" w:cs="Arial"/>
          <w:b/>
          <w:bCs/>
          <w:sz w:val="22"/>
          <w:szCs w:val="22"/>
        </w:rPr>
        <w:t>III/1292 Obrataň, ul. Nádražní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„</w:t>
      </w:r>
      <w:r w:rsidR="00CF664E">
        <w:rPr>
          <w:rFonts w:ascii="Arial" w:hAnsi="Arial" w:cs="Arial"/>
          <w:sz w:val="22"/>
          <w:szCs w:val="22"/>
        </w:rPr>
        <w:t>III/1292 Obrataň, ul. Nádražní</w:t>
      </w:r>
      <w:r w:rsidRPr="007C320C">
        <w:rPr>
          <w:rFonts w:ascii="Arial" w:hAnsi="Arial" w:cs="Arial"/>
          <w:sz w:val="22"/>
          <w:szCs w:val="22"/>
        </w:rPr>
        <w:t>“.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:rsidR="00FA4E4C" w:rsidRPr="00BC703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Rekonstrukce silnice III/1292 v průtahu obce Obrataň, ul. Nádražní v úseku od křižovatky se silnicí I/19 po železniční přejezd (směr na Cetoraz) v délce cca 820 m.</w:t>
      </w:r>
    </w:p>
    <w:p w:rsidR="00CF664E" w:rsidRPr="00CF664E" w:rsidRDefault="00CF664E" w:rsidP="00CF664E">
      <w:p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Rekonstrukce silnice III/1292 bude v maximální míře respektovat stávající směrové a šířkové poměry, v trase v sousedství nemovitostí bude řešena případná výšková úprava nivelety vozovky s ohledem na sousedící objekty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Rekonstrukce mostu ev. č. 1292-1 most Obrataň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III/1292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vč. návrhu nové dešťové kanalizace v dotčeném 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515D64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0233B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</w:t>
      </w: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082501">
        <w:rPr>
          <w:rFonts w:ascii="Arial" w:hAnsi="Arial" w:cs="Arial"/>
          <w:sz w:val="22"/>
          <w:szCs w:val="22"/>
          <w:lang w:val="pl-PL"/>
        </w:rPr>
        <w:t>8</w:t>
      </w:r>
      <w:r w:rsidR="004630B0">
        <w:rPr>
          <w:rFonts w:ascii="Arial" w:hAnsi="Arial" w:cs="Arial"/>
          <w:sz w:val="22"/>
          <w:szCs w:val="22"/>
          <w:lang w:val="pl-PL"/>
        </w:rPr>
        <w:t>. 2022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 xml:space="preserve">15. </w:t>
      </w:r>
      <w:r w:rsidR="00082501">
        <w:rPr>
          <w:rFonts w:ascii="Arial" w:hAnsi="Arial" w:cs="Arial"/>
          <w:sz w:val="22"/>
          <w:szCs w:val="22"/>
          <w:lang w:val="pl-PL"/>
        </w:rPr>
        <w:t>2</w:t>
      </w:r>
      <w:r w:rsidR="004630B0">
        <w:rPr>
          <w:rFonts w:ascii="Arial" w:hAnsi="Arial" w:cs="Arial"/>
          <w:sz w:val="22"/>
          <w:szCs w:val="22"/>
          <w:lang w:val="pl-PL"/>
        </w:rPr>
        <w:t>.</w:t>
      </w:r>
      <w:r w:rsidR="00C00973">
        <w:rPr>
          <w:rFonts w:ascii="Arial" w:hAnsi="Arial" w:cs="Arial"/>
          <w:sz w:val="22"/>
          <w:szCs w:val="22"/>
          <w:lang w:val="pl-PL"/>
        </w:rPr>
        <w:t xml:space="preserve"> 2023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>do 31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082501">
        <w:rPr>
          <w:rFonts w:ascii="Arial" w:hAnsi="Arial" w:cs="Arial"/>
          <w:sz w:val="22"/>
          <w:szCs w:val="22"/>
          <w:lang w:val="pl-PL"/>
        </w:rPr>
        <w:t>3</w:t>
      </w:r>
      <w:r w:rsidR="00C00973">
        <w:rPr>
          <w:rFonts w:ascii="Arial" w:hAnsi="Arial" w:cs="Arial"/>
          <w:sz w:val="22"/>
          <w:szCs w:val="22"/>
          <w:lang w:val="pl-PL"/>
        </w:rPr>
        <w:t>. 2023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="00082501">
        <w:rPr>
          <w:rFonts w:ascii="Arial" w:hAnsi="Arial" w:cs="Arial"/>
          <w:sz w:val="22"/>
          <w:szCs w:val="22"/>
        </w:rPr>
        <w:t>ú</w:t>
      </w:r>
      <w:r w:rsidR="00E51256">
        <w:rPr>
          <w:rFonts w:ascii="Arial" w:hAnsi="Arial" w:cs="Arial"/>
          <w:sz w:val="22"/>
          <w:szCs w:val="22"/>
        </w:rPr>
        <w:t xml:space="preserve">zemního a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EF7C96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d)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EF7C96" w:rsidRDefault="00EF7C96" w:rsidP="00EF7C96">
      <w:pPr>
        <w:pStyle w:val="Odstavecseseznamem"/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D3472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„</w:t>
      </w:r>
      <w:r w:rsidR="00082501">
        <w:rPr>
          <w:b/>
          <w:color w:val="auto"/>
        </w:rPr>
        <w:t>III/1292 Obrataň, ul. Nádražní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0B3854" w:rsidRPr="00E51256">
        <w:rPr>
          <w:b/>
          <w:color w:val="auto"/>
        </w:rPr>
        <w:t>“</w:t>
      </w:r>
      <w:r w:rsidR="00E51256" w:rsidRPr="00E51256">
        <w:rPr>
          <w:color w:val="auto"/>
        </w:rPr>
        <w:t>.</w:t>
      </w:r>
    </w:p>
    <w:p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lastRenderedPageBreak/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:rsidR="00774D0F" w:rsidRDefault="00774D0F" w:rsidP="00774D0F">
      <w:pPr>
        <w:pStyle w:val="Odstavecseseznamem"/>
        <w:rPr>
          <w:rFonts w:eastAsia="MS Mincho"/>
        </w:rPr>
      </w:pP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E2F39">
        <w:rPr>
          <w:rFonts w:eastAsia="MS Mincho"/>
          <w:color w:val="auto"/>
        </w:rPr>
        <w:t>bude podepsána elektronicky.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:rsidR="00660581" w:rsidRDefault="00660581" w:rsidP="00660581">
      <w:pPr>
        <w:pStyle w:val="Odstavecseseznamem"/>
      </w:pPr>
    </w:p>
    <w:p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84F82" w:rsidRDefault="00A84F82" w:rsidP="00A84F82">
      <w:pPr>
        <w:pStyle w:val="Odstavecseseznamem"/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lastRenderedPageBreak/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2C" w:rsidRDefault="00D3472C">
      <w:r>
        <w:separator/>
      </w:r>
    </w:p>
  </w:endnote>
  <w:endnote w:type="continuationSeparator" w:id="0">
    <w:p w:rsidR="00D3472C" w:rsidRDefault="00D3472C">
      <w:r>
        <w:continuationSeparator/>
      </w:r>
    </w:p>
  </w:endnote>
  <w:endnote w:type="continuationNotice" w:id="1">
    <w:p w:rsidR="00D3472C" w:rsidRDefault="00D34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72C" w:rsidRDefault="00D3472C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F34A5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F34A5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72C" w:rsidRDefault="00D3472C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F34A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F34A5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2C" w:rsidRDefault="00D3472C">
      <w:r>
        <w:separator/>
      </w:r>
    </w:p>
  </w:footnote>
  <w:footnote w:type="continuationSeparator" w:id="0">
    <w:p w:rsidR="00D3472C" w:rsidRDefault="00D3472C">
      <w:r>
        <w:continuationSeparator/>
      </w:r>
    </w:p>
  </w:footnote>
  <w:footnote w:type="continuationNotice" w:id="1">
    <w:p w:rsidR="00D3472C" w:rsidRDefault="00D347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72C" w:rsidRPr="00C82BDA" w:rsidRDefault="00D347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3472C" w:rsidRPr="00C82BDA" w:rsidRDefault="00D347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3472C" w:rsidRDefault="00D347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1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1"/>
  </w:num>
  <w:num w:numId="2">
    <w:abstractNumId w:val="20"/>
  </w:num>
  <w:num w:numId="3">
    <w:abstractNumId w:val="46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2"/>
  </w:num>
  <w:num w:numId="8">
    <w:abstractNumId w:val="37"/>
  </w:num>
  <w:num w:numId="9">
    <w:abstractNumId w:val="33"/>
  </w:num>
  <w:num w:numId="10">
    <w:abstractNumId w:val="10"/>
  </w:num>
  <w:num w:numId="11">
    <w:abstractNumId w:val="5"/>
  </w:num>
  <w:num w:numId="12">
    <w:abstractNumId w:val="36"/>
  </w:num>
  <w:num w:numId="13">
    <w:abstractNumId w:val="12"/>
  </w:num>
  <w:num w:numId="14">
    <w:abstractNumId w:val="26"/>
  </w:num>
  <w:num w:numId="15">
    <w:abstractNumId w:val="30"/>
  </w:num>
  <w:num w:numId="16">
    <w:abstractNumId w:val="6"/>
  </w:num>
  <w:num w:numId="17">
    <w:abstractNumId w:val="21"/>
  </w:num>
  <w:num w:numId="18">
    <w:abstractNumId w:val="3"/>
  </w:num>
  <w:num w:numId="19">
    <w:abstractNumId w:val="13"/>
  </w:num>
  <w:num w:numId="20">
    <w:abstractNumId w:val="40"/>
  </w:num>
  <w:num w:numId="21">
    <w:abstractNumId w:val="38"/>
  </w:num>
  <w:num w:numId="22">
    <w:abstractNumId w:val="16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9"/>
  </w:num>
  <w:num w:numId="27">
    <w:abstractNumId w:val="45"/>
  </w:num>
  <w:num w:numId="28">
    <w:abstractNumId w:val="22"/>
  </w:num>
  <w:num w:numId="29">
    <w:abstractNumId w:val="25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4"/>
  </w:num>
  <w:num w:numId="36">
    <w:abstractNumId w:val="7"/>
  </w:num>
  <w:num w:numId="37">
    <w:abstractNumId w:val="31"/>
  </w:num>
  <w:num w:numId="38">
    <w:abstractNumId w:val="39"/>
  </w:num>
  <w:num w:numId="39">
    <w:abstractNumId w:val="17"/>
  </w:num>
  <w:num w:numId="40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4"/>
  </w:num>
  <w:num w:numId="43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BF8E9B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E0BC-5E28-4588-A50E-E22E87E7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6268</Words>
  <Characters>38351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</cp:revision>
  <cp:lastPrinted>2020-01-27T08:54:00Z</cp:lastPrinted>
  <dcterms:created xsi:type="dcterms:W3CDTF">2021-12-06T14:48:00Z</dcterms:created>
  <dcterms:modified xsi:type="dcterms:W3CDTF">2021-12-08T07:17:00Z</dcterms:modified>
</cp:coreProperties>
</file>