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58F43263" w:rsidR="00403F7E" w:rsidRPr="00957A2B"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452713" w:rsidRPr="00452713">
        <w:rPr>
          <w:rFonts w:ascii="Arial" w:hAnsi="Arial" w:cs="Arial"/>
          <w:color w:val="000000"/>
          <w:sz w:val="22"/>
          <w:szCs w:val="22"/>
        </w:rPr>
        <w:t>SIEM nástroje IBM Qradar</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w:t>
      </w:r>
      <w:r w:rsidR="00452713" w:rsidRPr="00452713">
        <w:rPr>
          <w:rFonts w:ascii="Arial" w:hAnsi="Arial" w:cs="Arial"/>
          <w:color w:val="000000"/>
          <w:sz w:val="22"/>
          <w:szCs w:val="22"/>
        </w:rPr>
        <w:t>funkční</w:t>
      </w:r>
      <w:r w:rsidR="00452713">
        <w:rPr>
          <w:rFonts w:ascii="Arial" w:hAnsi="Arial" w:cs="Arial"/>
          <w:color w:val="000000"/>
          <w:sz w:val="22"/>
          <w:szCs w:val="22"/>
        </w:rPr>
        <w:t>ho</w:t>
      </w:r>
      <w:r w:rsidR="00452713" w:rsidRPr="00452713">
        <w:rPr>
          <w:rFonts w:ascii="Arial" w:hAnsi="Arial" w:cs="Arial"/>
          <w:color w:val="000000"/>
          <w:sz w:val="22"/>
          <w:szCs w:val="22"/>
        </w:rPr>
        <w:t xml:space="preserve"> a kapacitní</w:t>
      </w:r>
      <w:r w:rsidR="00452713">
        <w:rPr>
          <w:rFonts w:ascii="Arial" w:hAnsi="Arial" w:cs="Arial"/>
          <w:color w:val="000000"/>
          <w:sz w:val="22"/>
          <w:szCs w:val="22"/>
        </w:rPr>
        <w:t>ho</w:t>
      </w:r>
      <w:r w:rsidR="00452713" w:rsidRPr="00452713">
        <w:rPr>
          <w:rFonts w:ascii="Arial" w:hAnsi="Arial" w:cs="Arial"/>
          <w:color w:val="000000"/>
          <w:sz w:val="22"/>
          <w:szCs w:val="22"/>
        </w:rPr>
        <w:t xml:space="preserve"> rozšíření stávajícího SIEM nástroje IBM Qradar</w:t>
      </w:r>
      <w:r w:rsidR="001E2733" w:rsidRPr="00957A2B">
        <w:rPr>
          <w:rFonts w:ascii="Arial" w:hAnsi="Arial" w:cs="Arial"/>
          <w:color w:val="000000"/>
          <w:sz w:val="22"/>
          <w:szCs w:val="22"/>
        </w:rPr>
        <w:t>;</w:t>
      </w:r>
    </w:p>
    <w:p w14:paraId="48ABB60E" w14:textId="1CD637F8"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7976FB37" w:rsidR="005D3DD5"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DD0C3E" w:rsidRPr="00DD0C3E">
        <w:rPr>
          <w:rFonts w:ascii="Arial" w:hAnsi="Arial" w:cs="Arial"/>
          <w:color w:val="000000"/>
          <w:sz w:val="22"/>
          <w:szCs w:val="22"/>
        </w:rPr>
        <w:t xml:space="preserve">Kybernetická bezpečnost KV _Software, </w:t>
      </w:r>
      <w:r w:rsidR="00452713">
        <w:rPr>
          <w:rFonts w:ascii="Arial" w:hAnsi="Arial" w:cs="Arial"/>
          <w:color w:val="000000"/>
          <w:sz w:val="22"/>
          <w:szCs w:val="22"/>
        </w:rPr>
        <w:t>č</w:t>
      </w:r>
      <w:r w:rsidR="00452713" w:rsidRPr="00452713">
        <w:rPr>
          <w:rFonts w:ascii="Arial" w:hAnsi="Arial" w:cs="Arial"/>
          <w:color w:val="000000"/>
          <w:sz w:val="22"/>
          <w:szCs w:val="22"/>
        </w:rPr>
        <w:t>ást 2 – Povýšení SIEM nástroje IBM Qradar SIEM</w:t>
      </w:r>
      <w:r w:rsidRPr="00452713">
        <w:rPr>
          <w:rFonts w:ascii="Arial" w:hAnsi="Arial" w:cs="Arial"/>
          <w:color w:val="000000"/>
          <w:sz w:val="22"/>
          <w:szCs w:val="22"/>
        </w:rPr>
        <w:t>“ (dále jen „zadávací řízení“)</w:t>
      </w:r>
      <w:r w:rsidR="00FE677F" w:rsidRPr="00452713">
        <w:rPr>
          <w:rFonts w:ascii="Arial" w:hAnsi="Arial" w:cs="Arial"/>
          <w:color w:val="000000"/>
          <w:sz w:val="22"/>
          <w:szCs w:val="22"/>
        </w:rPr>
        <w:t>,</w:t>
      </w:r>
      <w:r w:rsidRPr="00452713">
        <w:rPr>
          <w:rFonts w:ascii="Arial" w:hAnsi="Arial" w:cs="Arial"/>
          <w:color w:val="000000"/>
          <w:sz w:val="22"/>
          <w:szCs w:val="22"/>
        </w:rPr>
        <w:t xml:space="preserve"> a to dle</w:t>
      </w:r>
      <w:r>
        <w:rPr>
          <w:rFonts w:ascii="Arial" w:hAnsi="Arial" w:cs="Arial"/>
          <w:color w:val="000000"/>
          <w:sz w:val="22"/>
          <w:szCs w:val="22"/>
        </w:rPr>
        <w:t xml:space="preserv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0F0651B6"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lastRenderedPageBreak/>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2 této smlouvy. </w:t>
      </w:r>
    </w:p>
    <w:p w14:paraId="6D06A6FD" w14:textId="1B4A9A38"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Kraje Vysočina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w:t>
      </w:r>
      <w:r w:rsidRPr="00957A2B">
        <w:rPr>
          <w:rFonts w:ascii="Arial" w:hAnsi="Arial" w:cs="Arial"/>
        </w:rPr>
        <w:lastRenderedPageBreak/>
        <w:t>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2CFE87F2"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723F3E">
        <w:rPr>
          <w:rFonts w:ascii="Arial" w:hAnsi="Arial" w:cs="Arial"/>
        </w:rPr>
        <w:t>10</w:t>
      </w:r>
      <w:r w:rsidR="0087587A" w:rsidRPr="00957A2B">
        <w:rPr>
          <w:rFonts w:ascii="Arial" w:hAnsi="Arial" w:cs="Arial"/>
        </w:rPr>
        <w:t xml:space="preserve">0 </w:t>
      </w:r>
      <w:r w:rsidRPr="00957A2B">
        <w:rPr>
          <w:rFonts w:ascii="Arial" w:hAnsi="Arial" w:cs="Arial"/>
        </w:rPr>
        <w:t xml:space="preserve">000 Kč, a to za každé jednotlivé porušení povinností obsažených v tomto článku. </w:t>
      </w: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w:t>
      </w:r>
      <w:r w:rsidRPr="00957A2B">
        <w:rPr>
          <w:rFonts w:ascii="Arial" w:hAnsi="Arial" w:cs="Arial"/>
        </w:rPr>
        <w:lastRenderedPageBreak/>
        <w:t>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77777777" w:rsidR="00A25D83" w:rsidRPr="00957A2B"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0BA8569F"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77777777"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0110C5" w:rsidRPr="00957A2B">
        <w:rPr>
          <w:rFonts w:ascii="Arial" w:hAnsi="Arial" w:cs="Arial"/>
        </w:rPr>
        <w:t xml:space="preserve"> </w:t>
      </w:r>
      <w:r w:rsidR="00620E98" w:rsidRPr="00957A2B">
        <w:rPr>
          <w:rFonts w:ascii="Arial" w:hAnsi="Arial" w:cs="Arial"/>
          <w:iCs/>
        </w:rPr>
        <w:t>po akceptaci díla objednatelem za podmínek stanovených v čl. 7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Pokud daňový doklad (faktura) nesplňuje všechny zákonem a smlouvou požadované náležitosti, je objednatel oprávněn ji do data splatnosti vrátit s tím, že zhotovitel je </w:t>
      </w:r>
      <w:r w:rsidRPr="00957A2B">
        <w:rPr>
          <w:rFonts w:ascii="Arial" w:hAnsi="Arial" w:cs="Arial"/>
        </w:rPr>
        <w:lastRenderedPageBreak/>
        <w:t>poté povinen vystavit nový doklad (fakturu) s novým termínem splatnosti. V takovém případě není objednatel v prodlení s úhradou.</w:t>
      </w:r>
    </w:p>
    <w:p w14:paraId="22CD55A3" w14:textId="77777777" w:rsidR="00FA7907" w:rsidRPr="00957A2B" w:rsidRDefault="00FA7907" w:rsidP="00CB4298">
      <w:pPr>
        <w:pStyle w:val="nadpis"/>
        <w:numPr>
          <w:ilvl w:val="1"/>
          <w:numId w:val="7"/>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CB4298">
      <w:pPr>
        <w:pStyle w:val="nadpis"/>
        <w:numPr>
          <w:ilvl w:val="1"/>
          <w:numId w:val="8"/>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785FD29E" w:rsidR="00716E08" w:rsidRPr="00716E08" w:rsidRDefault="00716E08" w:rsidP="00716E08">
      <w:pPr>
        <w:pStyle w:val="Odstavecseseznamem"/>
        <w:numPr>
          <w:ilvl w:val="1"/>
          <w:numId w:val="8"/>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projektu </w:t>
      </w:r>
      <w:r w:rsidR="00FE6ACE" w:rsidRPr="00FE6ACE">
        <w:rPr>
          <w:rFonts w:ascii="Arial" w:hAnsi="Arial" w:cs="Arial"/>
          <w:snapToGrid w:val="0"/>
          <w:sz w:val="22"/>
          <w:szCs w:val="22"/>
          <w:lang w:val="cs-CZ"/>
        </w:rPr>
        <w:t xml:space="preserve">reg. č. </w:t>
      </w:r>
      <w:bookmarkStart w:id="0" w:name="Reg_č_projektu"/>
      <w:sdt>
        <w:sdtPr>
          <w:rPr>
            <w:rFonts w:ascii="Arial" w:hAnsi="Arial" w:cs="Arial"/>
            <w:snapToGrid w:val="0"/>
            <w:sz w:val="22"/>
            <w:szCs w:val="22"/>
            <w:lang w:val="cs-CZ"/>
          </w:rPr>
          <w:alias w:val="Reg_č_projektu"/>
          <w:tag w:val="Reg_č_projektu"/>
          <w:id w:val="-1938050782"/>
          <w:placeholder>
            <w:docPart w:val="F300C7F8940A413D8A27CA2276C44BE1"/>
          </w:placeholder>
          <w:text/>
        </w:sdtPr>
        <w:sdtEndPr/>
        <w:sdtContent>
          <w:r w:rsidR="00FE6ACE" w:rsidRPr="00FE6ACE">
            <w:rPr>
              <w:rFonts w:ascii="Arial" w:hAnsi="Arial" w:cs="Arial"/>
              <w:snapToGrid w:val="0"/>
              <w:sz w:val="22"/>
              <w:szCs w:val="22"/>
              <w:lang w:val="cs-CZ"/>
            </w:rPr>
            <w:t>CZ.06.01.01/00/22_004/0000163 - Kybernetická bezpečnost Kraje Vysočina 2022.</w:t>
          </w:r>
        </w:sdtContent>
      </w:sdt>
      <w:bookmarkEnd w:id="0"/>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CB4298">
      <w:pPr>
        <w:pStyle w:val="seznam-western"/>
        <w:numPr>
          <w:ilvl w:val="0"/>
          <w:numId w:val="8"/>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77777777" w:rsidR="008C4BC0" w:rsidRPr="00957A2B"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3BD2AC1F" w:rsidR="001338EE" w:rsidRPr="00957A2B" w:rsidRDefault="00297507"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Smluvní strany se dohodly, že zhotovitel vytvoří a předá dílo objednateli nejpozději do</w:t>
      </w:r>
      <w:r w:rsidR="000110C5" w:rsidRPr="00957A2B">
        <w:rPr>
          <w:rFonts w:ascii="Arial" w:hAnsi="Arial" w:cs="Arial"/>
        </w:rPr>
        <w:t> </w:t>
      </w:r>
      <w:r w:rsidR="00270796">
        <w:rPr>
          <w:rFonts w:ascii="Arial" w:hAnsi="Arial" w:cs="Arial"/>
          <w:iCs/>
        </w:rPr>
        <w:t>31.12.2023</w:t>
      </w:r>
      <w:bookmarkStart w:id="1" w:name="_GoBack"/>
      <w:bookmarkEnd w:id="1"/>
      <w:r w:rsidR="00A002CD">
        <w:rPr>
          <w:rFonts w:ascii="Arial" w:hAnsi="Arial" w:cs="Arial"/>
          <w:iCs/>
        </w:rPr>
        <w:t>.</w:t>
      </w:r>
      <w:r w:rsidR="00A002CD" w:rsidRPr="00957A2B">
        <w:rPr>
          <w:rFonts w:ascii="Arial" w:hAnsi="Arial" w:cs="Arial"/>
          <w:iCs/>
        </w:rPr>
        <w:t xml:space="preserve"> </w:t>
      </w:r>
    </w:p>
    <w:p w14:paraId="02D7055A" w14:textId="3B1832FC" w:rsidR="001338EE" w:rsidRPr="00957A2B" w:rsidRDefault="001338EE" w:rsidP="00CB4298">
      <w:pPr>
        <w:numPr>
          <w:ilvl w:val="1"/>
          <w:numId w:val="9"/>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CB4298">
      <w:pPr>
        <w:numPr>
          <w:ilvl w:val="1"/>
          <w:numId w:val="9"/>
        </w:numPr>
        <w:spacing w:after="0" w:line="240" w:lineRule="auto"/>
        <w:ind w:left="709" w:hanging="720"/>
        <w:jc w:val="both"/>
        <w:rPr>
          <w:rFonts w:ascii="Arial" w:hAnsi="Arial" w:cs="Arial"/>
          <w:iCs/>
        </w:rPr>
      </w:pPr>
      <w:r w:rsidRPr="00957A2B">
        <w:rPr>
          <w:rFonts w:ascii="Arial" w:hAnsi="Arial" w:cs="Arial"/>
          <w:iCs/>
        </w:rPr>
        <w:lastRenderedPageBreak/>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3CA7D359" w:rsidR="000F2687" w:rsidRPr="0093336B" w:rsidRDefault="000F2687" w:rsidP="00CB4298">
      <w:pPr>
        <w:numPr>
          <w:ilvl w:val="0"/>
          <w:numId w:val="5"/>
        </w:numPr>
        <w:spacing w:after="0" w:line="240" w:lineRule="auto"/>
        <w:ind w:left="1134" w:hanging="425"/>
        <w:rPr>
          <w:rFonts w:ascii="Arial" w:hAnsi="Arial" w:cs="Arial"/>
        </w:rPr>
      </w:pPr>
      <w:r w:rsidRPr="0093336B">
        <w:rPr>
          <w:rFonts w:ascii="Arial" w:hAnsi="Arial" w:cs="Arial"/>
        </w:rPr>
        <w:t>kontrola funkčnosti implementace díla s možností ovládání jeho uživateli</w:t>
      </w:r>
      <w:r w:rsidR="0093336B" w:rsidRPr="0093336B">
        <w:rPr>
          <w:rFonts w:ascii="Arial" w:hAnsi="Arial" w:cs="Arial"/>
        </w:rPr>
        <w:t xml:space="preserve"> prostřednictvím provedení akceptačních testů dle přílohy č. 1 smlouvy</w:t>
      </w:r>
      <w:r w:rsidRPr="0093336B">
        <w:rPr>
          <w:rFonts w:ascii="Arial" w:hAnsi="Arial" w:cs="Arial"/>
        </w:rPr>
        <w:t>; a</w:t>
      </w:r>
    </w:p>
    <w:p w14:paraId="3E42752F" w14:textId="653A61B5" w:rsidR="00667E8D" w:rsidRPr="0093336B" w:rsidRDefault="0083676A" w:rsidP="00CB4298">
      <w:pPr>
        <w:numPr>
          <w:ilvl w:val="0"/>
          <w:numId w:val="5"/>
        </w:numPr>
        <w:spacing w:after="0" w:line="240" w:lineRule="auto"/>
        <w:ind w:left="1134" w:hanging="425"/>
        <w:rPr>
          <w:rFonts w:ascii="Arial" w:hAnsi="Arial" w:cs="Arial"/>
        </w:rPr>
      </w:pPr>
      <w:r w:rsidRPr="0093336B">
        <w:rPr>
          <w:rFonts w:ascii="Arial" w:hAnsi="Arial" w:cs="Arial"/>
          <w:color w:val="000000"/>
        </w:rPr>
        <w:t>zaškolení oprávněných osob</w:t>
      </w:r>
      <w:r w:rsidR="00DA2119" w:rsidRPr="0093336B">
        <w:rPr>
          <w:rFonts w:ascii="Arial" w:hAnsi="Arial" w:cs="Arial"/>
          <w:color w:val="000000"/>
        </w:rPr>
        <w:t xml:space="preserve"> objednatele</w:t>
      </w:r>
    </w:p>
    <w:p w14:paraId="482E1FAC" w14:textId="2C81E4D3" w:rsidR="006F1177" w:rsidRPr="0093336B" w:rsidRDefault="006F1177" w:rsidP="00CB4298">
      <w:pPr>
        <w:numPr>
          <w:ilvl w:val="0"/>
          <w:numId w:val="5"/>
        </w:numPr>
        <w:spacing w:after="0" w:line="240" w:lineRule="auto"/>
        <w:ind w:left="1134" w:hanging="425"/>
        <w:rPr>
          <w:rFonts w:ascii="Arial" w:hAnsi="Arial" w:cs="Arial"/>
        </w:rPr>
      </w:pPr>
      <w:r w:rsidRPr="0093336B">
        <w:rPr>
          <w:rFonts w:ascii="Arial" w:hAnsi="Arial" w:cs="Arial"/>
          <w:color w:val="000000"/>
        </w:rPr>
        <w:t>předání požadované dokumentace díla</w:t>
      </w:r>
    </w:p>
    <w:p w14:paraId="16966C83" w14:textId="77777777" w:rsidR="00DC4FB0"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CB4298">
      <w:pPr>
        <w:numPr>
          <w:ilvl w:val="1"/>
          <w:numId w:val="9"/>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lastRenderedPageBreak/>
        <w:t>Vyšší moc</w:t>
      </w:r>
    </w:p>
    <w:p w14:paraId="7CA015C8"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D56B2F">
      <w:pPr>
        <w:numPr>
          <w:ilvl w:val="1"/>
          <w:numId w:val="9"/>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49E3C34D" w:rsidR="003F51E8" w:rsidRPr="003F51E8" w:rsidRDefault="003F51E8" w:rsidP="003F51E8">
      <w:pPr>
        <w:numPr>
          <w:ilvl w:val="1"/>
          <w:numId w:val="9"/>
        </w:numPr>
        <w:spacing w:after="0" w:line="240" w:lineRule="auto"/>
        <w:ind w:left="709" w:hanging="720"/>
        <w:jc w:val="both"/>
        <w:rPr>
          <w:rFonts w:ascii="Arial" w:hAnsi="Arial" w:cs="Arial"/>
        </w:rPr>
      </w:pPr>
      <w:bookmarkStart w:id="2"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poddodavatele </w:t>
      </w:r>
      <w:r w:rsidR="004D6286">
        <w:rPr>
          <w:rFonts w:ascii="Arial" w:hAnsi="Arial" w:cs="Arial"/>
        </w:rPr>
        <w:t xml:space="preserve">jehož prostřednictvím prokazoval kvalifikaci, </w:t>
      </w:r>
      <w:r w:rsidRPr="003F51E8">
        <w:rPr>
          <w:rFonts w:ascii="Arial" w:hAnsi="Arial" w:cs="Arial"/>
        </w:rPr>
        <w:t>prokázat splnění kvalifikačních předpokladů v odpovídajícím rozsahu rovněž u osoby nového poddodavatele.</w:t>
      </w:r>
      <w:bookmarkEnd w:id="2"/>
    </w:p>
    <w:p w14:paraId="47F3EF33" w14:textId="4002908F" w:rsidR="003F51E8" w:rsidRPr="003F51E8" w:rsidRDefault="003F51E8" w:rsidP="003F51E8">
      <w:pPr>
        <w:numPr>
          <w:ilvl w:val="1"/>
          <w:numId w:val="9"/>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0A41D9">
      <w:pPr>
        <w:numPr>
          <w:ilvl w:val="1"/>
          <w:numId w:val="9"/>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0A41D9">
      <w:pPr>
        <w:numPr>
          <w:ilvl w:val="1"/>
          <w:numId w:val="9"/>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F963EE">
      <w:pPr>
        <w:numPr>
          <w:ilvl w:val="1"/>
          <w:numId w:val="9"/>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A0DAEB" w:rsidR="000A41D9" w:rsidRPr="00432B42" w:rsidRDefault="000A41D9" w:rsidP="000A41D9">
      <w:pPr>
        <w:numPr>
          <w:ilvl w:val="1"/>
          <w:numId w:val="9"/>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68F4FD2B"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723F3E">
        <w:rPr>
          <w:rFonts w:ascii="Arial" w:hAnsi="Arial" w:cs="Arial"/>
          <w:color w:val="000000"/>
        </w:rPr>
        <w:t>10</w:t>
      </w:r>
      <w:r>
        <w:rPr>
          <w:rFonts w:ascii="Arial" w:hAnsi="Arial" w:cs="Arial"/>
          <w:color w:val="000000"/>
        </w:rPr>
        <w:t xml:space="preserve">0 000 Kč, a to za každé </w:t>
      </w:r>
      <w:r>
        <w:rPr>
          <w:rFonts w:ascii="Arial" w:hAnsi="Arial" w:cs="Arial"/>
          <w:color w:val="000000"/>
        </w:rPr>
        <w:lastRenderedPageBreak/>
        <w:t xml:space="preserve">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0A41D9">
      <w:pPr>
        <w:numPr>
          <w:ilvl w:val="1"/>
          <w:numId w:val="9"/>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6039E0">
      <w:pPr>
        <w:numPr>
          <w:ilvl w:val="1"/>
          <w:numId w:val="9"/>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6039E0">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52E8C">
      <w:pPr>
        <w:pStyle w:val="seznam-western"/>
        <w:numPr>
          <w:ilvl w:val="0"/>
          <w:numId w:val="9"/>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13C1EADA"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bookmarkStart w:id="3"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2028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3"/>
    </w:p>
    <w:p w14:paraId="346F3B28" w14:textId="415D9215"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2028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CB4298">
      <w:pPr>
        <w:numPr>
          <w:ilvl w:val="1"/>
          <w:numId w:val="9"/>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CB4298">
      <w:pPr>
        <w:numPr>
          <w:ilvl w:val="1"/>
          <w:numId w:val="9"/>
        </w:numPr>
        <w:spacing w:after="0" w:line="240" w:lineRule="auto"/>
        <w:ind w:left="709" w:hanging="720"/>
        <w:jc w:val="both"/>
        <w:rPr>
          <w:rFonts w:ascii="Arial" w:hAnsi="Arial" w:cs="Arial"/>
        </w:rPr>
      </w:pPr>
      <w:r w:rsidRPr="00957A2B">
        <w:rPr>
          <w:rFonts w:ascii="Arial" w:hAnsi="Arial" w:cs="Arial"/>
          <w:color w:val="000000"/>
        </w:rPr>
        <w:lastRenderedPageBreak/>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E11FF7">
      <w:pPr>
        <w:numPr>
          <w:ilvl w:val="1"/>
          <w:numId w:val="9"/>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1BF2842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je vyhotovena </w:t>
      </w:r>
      <w:r w:rsidR="00B35F0F">
        <w:rPr>
          <w:rFonts w:ascii="Arial" w:hAnsi="Arial" w:cs="Arial"/>
        </w:rPr>
        <w:t>elektronicky</w:t>
      </w:r>
      <w:r w:rsidRPr="00957A2B">
        <w:rPr>
          <w:rFonts w:ascii="Arial" w:hAnsi="Arial" w:cs="Arial"/>
        </w:rPr>
        <w:t xml:space="preserve">. Každá ze smluvních stran obdrží po jednom řádně podepsaném </w:t>
      </w:r>
      <w:r w:rsidR="00B35F0F">
        <w:rPr>
          <w:rFonts w:ascii="Arial" w:hAnsi="Arial" w:cs="Arial"/>
        </w:rPr>
        <w:t>vyhotovení</w:t>
      </w:r>
      <w:r w:rsidRPr="00957A2B">
        <w:rPr>
          <w:rFonts w:ascii="Arial" w:hAnsi="Arial" w:cs="Arial"/>
        </w:rPr>
        <w:t>.</w:t>
      </w:r>
    </w:p>
    <w:p w14:paraId="37DA84FB" w14:textId="55FD9FF4" w:rsidR="0055539E" w:rsidRPr="00062E8C" w:rsidRDefault="0055539E" w:rsidP="00062E8C">
      <w:pPr>
        <w:numPr>
          <w:ilvl w:val="1"/>
          <w:numId w:val="9"/>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CB4298">
      <w:pPr>
        <w:numPr>
          <w:ilvl w:val="1"/>
          <w:numId w:val="9"/>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744D41C4" w:rsidR="00452E8C" w:rsidRPr="006F1177" w:rsidRDefault="009F3A1D" w:rsidP="00452E8C">
      <w:pPr>
        <w:spacing w:after="0" w:line="240" w:lineRule="auto"/>
        <w:ind w:left="708"/>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bližší specifikace díla</w:t>
      </w:r>
      <w:r w:rsidR="0084410A" w:rsidRPr="006F1177">
        <w:rPr>
          <w:rFonts w:ascii="Arial" w:hAnsi="Arial" w:cs="Arial"/>
        </w:rPr>
        <w:t xml:space="preserve"> </w:t>
      </w:r>
    </w:p>
    <w:p w14:paraId="1A09A999" w14:textId="08951F8E"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452E8C" w:rsidRPr="006F1177">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2D92ED74"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Pr="006F1177">
        <w:rPr>
          <w:rFonts w:ascii="Arial" w:hAnsi="Arial" w:cs="Arial"/>
        </w:rPr>
        <w:t>seznam poddodavatelů, jejichž prostřednictvím zhotovitel prokázal část kvalifikace v zadávacím řízení (je-li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7CA20B44"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00452E8C" w:rsidRPr="00957A2B">
        <w:rPr>
          <w:color w:val="000000"/>
          <w:sz w:val="22"/>
          <w:szCs w:val="22"/>
        </w:rPr>
        <w:t xml:space="preserve"> </w:t>
      </w:r>
      <w:r w:rsidRPr="00957A2B">
        <w:rPr>
          <w:color w:val="000000"/>
          <w:sz w:val="22"/>
          <w:szCs w:val="22"/>
        </w:rPr>
        <w:t>dne ……………..</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t>V Jihlavě dne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784DEA5D" w14:textId="77777777" w:rsidR="00FE6ACE" w:rsidRPr="006C31C6" w:rsidRDefault="00FE6ACE" w:rsidP="00FE6ACE">
      <w:pPr>
        <w:pStyle w:val="seznam-western"/>
        <w:rPr>
          <w:rFonts w:ascii="Arial" w:eastAsia="Calibri" w:hAnsi="Arial" w:cs="Arial"/>
          <w:sz w:val="22"/>
          <w:szCs w:val="22"/>
        </w:rPr>
      </w:pPr>
      <w:r w:rsidRPr="006C31C6">
        <w:rPr>
          <w:rFonts w:ascii="Arial" w:eastAsia="Calibri" w:hAnsi="Arial" w:cs="Arial"/>
          <w:sz w:val="22"/>
          <w:szCs w:val="22"/>
        </w:rPr>
        <w:t xml:space="preserve">bude doplněno z nabídky zhotovitele – technický list dle přílohy č. 2 zadávací dokumentace </w:t>
      </w:r>
    </w:p>
    <w:p w14:paraId="6024F73B" w14:textId="77777777" w:rsidR="00FE6ACE" w:rsidRPr="006C31C6" w:rsidRDefault="00FE6ACE" w:rsidP="00FE6ACE">
      <w:pPr>
        <w:pStyle w:val="seznam-western"/>
        <w:rPr>
          <w:rFonts w:ascii="Arial" w:eastAsia="Calibri" w:hAnsi="Arial" w:cs="Arial"/>
          <w:sz w:val="22"/>
          <w:szCs w:val="22"/>
        </w:rPr>
      </w:pPr>
    </w:p>
    <w:p w14:paraId="052D7F9C" w14:textId="77777777" w:rsidR="00FE6ACE" w:rsidRPr="006C31C6" w:rsidRDefault="00FE6ACE" w:rsidP="00FE6ACE">
      <w:pPr>
        <w:pStyle w:val="seznam-western"/>
        <w:rPr>
          <w:rFonts w:ascii="Arial" w:eastAsia="Calibri" w:hAnsi="Arial" w:cs="Arial"/>
          <w:sz w:val="22"/>
          <w:szCs w:val="22"/>
        </w:rPr>
      </w:pPr>
      <w:r w:rsidRPr="006C31C6">
        <w:rPr>
          <w:rFonts w:ascii="Arial" w:eastAsia="Calibri" w:hAnsi="Arial" w:cs="Arial"/>
          <w:sz w:val="22"/>
          <w:szCs w:val="22"/>
        </w:rPr>
        <w:t>příloha č. 1 Zadávací dokumentace pro příslušnou část veřejné zakázky</w:t>
      </w:r>
    </w:p>
    <w:p w14:paraId="3DC7F62C" w14:textId="14899130" w:rsidR="00CD68E0" w:rsidRPr="006C31C6" w:rsidRDefault="00CD68E0" w:rsidP="00E40F31">
      <w:pPr>
        <w:pStyle w:val="seznam-western"/>
        <w:spacing w:before="0" w:beforeAutospacing="0" w:after="0"/>
        <w:outlineLvl w:val="0"/>
        <w:rPr>
          <w:rFonts w:ascii="Arial" w:eastAsia="Calibri" w:hAnsi="Arial" w:cs="Arial"/>
          <w:sz w:val="22"/>
          <w:szCs w:val="22"/>
          <w:lang w:eastAsia="en-US"/>
        </w:rPr>
      </w:pPr>
    </w:p>
    <w:p w14:paraId="458826F5" w14:textId="77777777" w:rsidR="00F970BC" w:rsidRPr="00957A2B" w:rsidRDefault="005E4535" w:rsidP="00F970BC">
      <w:pPr>
        <w:pStyle w:val="seznam-western"/>
        <w:pageBreakBefore/>
        <w:spacing w:before="0" w:beforeAutospacing="0" w:after="0"/>
        <w:rPr>
          <w:rFonts w:ascii="Arial" w:hAnsi="Arial" w:cs="Arial"/>
          <w:b/>
          <w:sz w:val="22"/>
          <w:szCs w:val="22"/>
        </w:rPr>
      </w:pPr>
      <w:r w:rsidRPr="00FE6ACE">
        <w:rPr>
          <w:rFonts w:ascii="Arial" w:hAnsi="Arial" w:cs="Arial"/>
          <w:b/>
          <w:color w:val="000000"/>
          <w:sz w:val="22"/>
          <w:szCs w:val="22"/>
        </w:rPr>
        <w:lastRenderedPageBreak/>
        <w:t>Příloha č. 2</w:t>
      </w:r>
      <w:r w:rsidR="00F970BC" w:rsidRPr="00FE6ACE">
        <w:rPr>
          <w:rFonts w:ascii="Arial" w:hAnsi="Arial" w:cs="Arial"/>
          <w:b/>
          <w:color w:val="000000"/>
          <w:sz w:val="22"/>
          <w:szCs w:val="22"/>
        </w:rPr>
        <w:t xml:space="preserve"> - </w:t>
      </w:r>
      <w:r w:rsidR="00F970BC" w:rsidRPr="00FE6ACE">
        <w:rPr>
          <w:rFonts w:ascii="Arial" w:hAnsi="Arial" w:cs="Arial"/>
          <w:b/>
          <w:sz w:val="22"/>
          <w:szCs w:val="22"/>
        </w:rPr>
        <w:t>Požadavky a opatření pro zajištění bezpečnosti informací a inf</w:t>
      </w:r>
      <w:r w:rsidR="001676C6" w:rsidRPr="00FE6ACE">
        <w:rPr>
          <w:rFonts w:ascii="Arial" w:hAnsi="Arial" w:cs="Arial"/>
          <w:b/>
          <w:sz w:val="22"/>
          <w:szCs w:val="22"/>
        </w:rPr>
        <w:t>ormačních aktiv Kraje Vysočina</w:t>
      </w:r>
    </w:p>
    <w:p w14:paraId="44176C8C" w14:textId="77777777" w:rsidR="00723F3E" w:rsidRPr="006B1EBF" w:rsidRDefault="00723F3E" w:rsidP="00723F3E">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Bezpečnost přístupových oprávnění </w:t>
      </w:r>
    </w:p>
    <w:p w14:paraId="51ABFF04"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4E631338"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dodržovat tuto bezpečnostní politiku hesel pro výše uvedené přístupové údaje: </w:t>
      </w:r>
    </w:p>
    <w:p w14:paraId="49E53238" w14:textId="77777777" w:rsidR="00723F3E" w:rsidRPr="006B1EBF" w:rsidRDefault="00723F3E" w:rsidP="00723F3E">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78C4773D" w14:textId="77777777" w:rsidR="00723F3E" w:rsidRPr="006B1EBF" w:rsidRDefault="00723F3E" w:rsidP="00723F3E">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241F6AC1" w14:textId="77777777" w:rsidR="00723F3E" w:rsidRPr="006B1EBF" w:rsidRDefault="00723F3E" w:rsidP="00723F3E">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644F30DF" w14:textId="77777777" w:rsidR="00723F3E" w:rsidRPr="006B1EBF" w:rsidRDefault="00723F3E" w:rsidP="00723F3E">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4D12D525" w14:textId="77777777" w:rsidR="00723F3E" w:rsidRPr="006B1EBF" w:rsidRDefault="00723F3E" w:rsidP="00723F3E">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6687C920" w14:textId="77777777" w:rsidR="00723F3E" w:rsidRPr="006B1EBF" w:rsidRDefault="00723F3E" w:rsidP="00723F3E">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023BC4EB" w14:textId="77777777" w:rsidR="00723F3E" w:rsidRPr="006B1EBF" w:rsidRDefault="00723F3E" w:rsidP="00723F3E">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49FE1B40" w14:textId="77777777" w:rsidR="00723F3E" w:rsidRPr="006B1EBF" w:rsidRDefault="00723F3E" w:rsidP="00723F3E">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346842B7" w14:textId="77777777" w:rsidR="00723F3E" w:rsidRPr="006B1EBF" w:rsidRDefault="00723F3E" w:rsidP="00723F3E">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1ED43682"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používat personifikované účty, které jsou nepřenosné na jiné osoby, než kterým byly údaje přiděleny. </w:t>
      </w:r>
    </w:p>
    <w:p w14:paraId="4E3BCC67"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71D6794"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Pr>
          <w:rFonts w:ascii="Arial" w:hAnsi="Arial" w:cs="Arial"/>
          <w:sz w:val="20"/>
          <w:szCs w:val="20"/>
        </w:rPr>
        <w:t>Zhotovitel</w:t>
      </w:r>
      <w:r w:rsidRPr="006B1EBF">
        <w:rPr>
          <w:rFonts w:ascii="Arial" w:hAnsi="Arial" w:cs="Arial"/>
          <w:sz w:val="20"/>
          <w:szCs w:val="20"/>
        </w:rPr>
        <w:t xml:space="preserve"> zřizoval přístupová oprávnění třetí straně, je </w:t>
      </w:r>
      <w:r>
        <w:rPr>
          <w:rFonts w:ascii="Arial" w:hAnsi="Arial" w:cs="Arial"/>
          <w:sz w:val="20"/>
          <w:szCs w:val="20"/>
        </w:rPr>
        <w:t>Zhotovitel</w:t>
      </w:r>
      <w:r w:rsidRPr="006B1EBF">
        <w:rPr>
          <w:rFonts w:ascii="Arial" w:hAnsi="Arial" w:cs="Arial"/>
          <w:sz w:val="20"/>
          <w:szCs w:val="20"/>
        </w:rPr>
        <w:t xml:space="preserve"> povinen o této skutečnosti informovat objednatele. Objednatel má v tomto případě právo zřízení přístupu zamítnout. </w:t>
      </w:r>
    </w:p>
    <w:p w14:paraId="6E1B82A3" w14:textId="77777777" w:rsidR="00723F3E" w:rsidRPr="006B1EBF" w:rsidRDefault="00723F3E" w:rsidP="00723F3E">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Řízení rizik </w:t>
      </w:r>
    </w:p>
    <w:p w14:paraId="306F9A4E"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Pr>
          <w:rFonts w:ascii="Arial" w:hAnsi="Arial" w:cs="Arial"/>
          <w:sz w:val="20"/>
          <w:szCs w:val="20"/>
        </w:rPr>
        <w:t>Zhotovitel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Pr>
          <w:rFonts w:ascii="Arial" w:hAnsi="Arial" w:cs="Arial"/>
          <w:sz w:val="20"/>
          <w:szCs w:val="20"/>
        </w:rPr>
        <w:t>Zhotovitele</w:t>
      </w:r>
      <w:r w:rsidRPr="006B1EBF">
        <w:rPr>
          <w:rFonts w:ascii="Arial" w:hAnsi="Arial" w:cs="Arial"/>
          <w:sz w:val="20"/>
          <w:szCs w:val="20"/>
        </w:rPr>
        <w:t xml:space="preserve"> zodpovědný. </w:t>
      </w:r>
    </w:p>
    <w:p w14:paraId="447F7C2D"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se zavazuje řídit rizika informační bezpečnosti minimálně v následujícím rozsahu: </w:t>
      </w:r>
    </w:p>
    <w:p w14:paraId="69CB9C04" w14:textId="77777777" w:rsidR="00723F3E" w:rsidRPr="006B1EBF" w:rsidRDefault="00723F3E" w:rsidP="00723F3E">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432D4535" w14:textId="77777777" w:rsidR="00723F3E" w:rsidRPr="006B1EBF" w:rsidRDefault="00723F3E" w:rsidP="00723F3E">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3AC4D07B" w14:textId="77777777" w:rsidR="00723F3E" w:rsidRPr="006B1EBF" w:rsidRDefault="00723F3E" w:rsidP="00723F3E">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2B7ECA70" w14:textId="77777777" w:rsidR="00723F3E" w:rsidRPr="006B1EBF" w:rsidRDefault="00723F3E" w:rsidP="00723F3E">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Řízení kybernetických bezpečnostních incidentů: </w:t>
      </w:r>
    </w:p>
    <w:p w14:paraId="3A28F6AA"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objednateli hlásit veškeré kybernetické bezpečnostní incidenty, které by mohli mít nějakou souvislost s: </w:t>
      </w:r>
    </w:p>
    <w:p w14:paraId="508BB8A4" w14:textId="77777777" w:rsidR="00723F3E" w:rsidRPr="006B1EBF" w:rsidRDefault="00723F3E" w:rsidP="00723F3E">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1B37401A" w14:textId="77777777" w:rsidR="00723F3E" w:rsidRPr="006B1EBF" w:rsidRDefault="00723F3E" w:rsidP="00723F3E">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31A2D4BA" w14:textId="77777777" w:rsidR="00723F3E" w:rsidRPr="006B1EBF" w:rsidRDefault="00723F3E" w:rsidP="00723F3E">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4EC7AEA6" w14:textId="77777777" w:rsidR="00723F3E" w:rsidRPr="006B1EBF" w:rsidRDefault="00723F3E" w:rsidP="00723F3E">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5D83F04B" w14:textId="77777777" w:rsidR="00723F3E" w:rsidRPr="006B1EBF" w:rsidRDefault="00723F3E" w:rsidP="00723F3E">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Kryptografie: </w:t>
      </w:r>
    </w:p>
    <w:p w14:paraId="29A64CDB" w14:textId="77777777" w:rsidR="00723F3E" w:rsidRPr="006B1EBF" w:rsidRDefault="00723F3E" w:rsidP="00723F3E">
      <w:pPr>
        <w:spacing w:before="60" w:after="0" w:line="240" w:lineRule="auto"/>
        <w:rPr>
          <w:rFonts w:ascii="Arial" w:hAnsi="Arial" w:cs="Arial"/>
          <w:sz w:val="20"/>
          <w:szCs w:val="20"/>
        </w:rPr>
      </w:pPr>
    </w:p>
    <w:p w14:paraId="6BDF3EB4" w14:textId="77777777" w:rsidR="00723F3E" w:rsidRPr="006B1EBF" w:rsidRDefault="00723F3E" w:rsidP="00723F3E">
      <w:pPr>
        <w:spacing w:before="60" w:after="0" w:line="240" w:lineRule="auto"/>
        <w:rPr>
          <w:rFonts w:ascii="Arial" w:hAnsi="Arial" w:cs="Arial"/>
          <w:b/>
          <w:sz w:val="20"/>
          <w:szCs w:val="20"/>
        </w:rPr>
      </w:pPr>
      <w:bookmarkStart w:id="4" w:name="_Toc15480883"/>
      <w:r w:rsidRPr="006B1EBF">
        <w:rPr>
          <w:rFonts w:ascii="Arial" w:hAnsi="Arial" w:cs="Arial"/>
          <w:b/>
          <w:sz w:val="20"/>
          <w:szCs w:val="20"/>
        </w:rPr>
        <w:t>Obecně</w:t>
      </w:r>
      <w:bookmarkEnd w:id="4"/>
      <w:r w:rsidRPr="006B1EBF">
        <w:rPr>
          <w:rFonts w:ascii="Arial" w:hAnsi="Arial" w:cs="Arial"/>
          <w:b/>
          <w:sz w:val="20"/>
          <w:szCs w:val="20"/>
        </w:rPr>
        <w:t xml:space="preserve"> </w:t>
      </w:r>
    </w:p>
    <w:p w14:paraId="6E7574BA" w14:textId="77777777" w:rsidR="00723F3E" w:rsidRPr="006B1EBF" w:rsidRDefault="00723F3E" w:rsidP="00723F3E">
      <w:pPr>
        <w:pStyle w:val="Bezmezer"/>
        <w:spacing w:before="60"/>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2B0BEECB" w14:textId="77777777" w:rsidR="00723F3E" w:rsidRPr="006B1EBF" w:rsidRDefault="00723F3E" w:rsidP="00723F3E">
      <w:pPr>
        <w:spacing w:before="60" w:after="0" w:line="240" w:lineRule="auto"/>
        <w:textAlignment w:val="center"/>
        <w:rPr>
          <w:rFonts w:ascii="Arial" w:eastAsia="Times New Roman" w:hAnsi="Arial" w:cs="Arial"/>
          <w:sz w:val="20"/>
          <w:szCs w:val="20"/>
          <w:lang w:eastAsia="cs-CZ"/>
        </w:rPr>
      </w:pPr>
    </w:p>
    <w:p w14:paraId="03D4B8E4" w14:textId="77777777" w:rsidR="00723F3E" w:rsidRPr="006B1EBF" w:rsidRDefault="00723F3E" w:rsidP="00723F3E">
      <w:pPr>
        <w:spacing w:before="60" w:after="0" w:line="240" w:lineRule="auto"/>
        <w:rPr>
          <w:rFonts w:ascii="Arial" w:hAnsi="Arial" w:cs="Arial"/>
          <w:b/>
          <w:sz w:val="20"/>
          <w:szCs w:val="20"/>
        </w:rPr>
      </w:pPr>
      <w:bookmarkStart w:id="5" w:name="_Toc15480884"/>
      <w:r w:rsidRPr="006B1EBF">
        <w:rPr>
          <w:rFonts w:ascii="Arial" w:hAnsi="Arial" w:cs="Arial"/>
          <w:b/>
          <w:sz w:val="20"/>
          <w:szCs w:val="20"/>
        </w:rPr>
        <w:t>Hashovací funkce</w:t>
      </w:r>
      <w:bookmarkEnd w:id="5"/>
    </w:p>
    <w:p w14:paraId="12C5BFD3" w14:textId="77777777" w:rsidR="00723F3E" w:rsidRPr="006B1EBF" w:rsidRDefault="00723F3E" w:rsidP="00723F3E">
      <w:pPr>
        <w:pStyle w:val="Bezmezer"/>
        <w:spacing w:before="60"/>
        <w:rPr>
          <w:rFonts w:ascii="Arial" w:hAnsi="Arial" w:cs="Arial"/>
          <w:sz w:val="20"/>
          <w:szCs w:val="20"/>
          <w:lang w:eastAsia="cs-CZ"/>
        </w:rPr>
      </w:pPr>
      <w:bookmarkStart w:id="6" w:name="_Toc15480885"/>
      <w:r w:rsidRPr="006B1EBF">
        <w:rPr>
          <w:rFonts w:ascii="Arial" w:hAnsi="Arial" w:cs="Arial"/>
          <w:sz w:val="20"/>
          <w:szCs w:val="20"/>
          <w:lang w:eastAsia="cs-CZ"/>
        </w:rPr>
        <w:t>Ukládání otisků hesel</w:t>
      </w:r>
      <w:bookmarkEnd w:id="6"/>
      <w:r w:rsidRPr="006B1EBF">
        <w:rPr>
          <w:rFonts w:ascii="Arial" w:hAnsi="Arial" w:cs="Arial"/>
          <w:sz w:val="20"/>
          <w:szCs w:val="20"/>
          <w:lang w:eastAsia="cs-CZ"/>
        </w:rPr>
        <w:t xml:space="preserve"> </w:t>
      </w:r>
    </w:p>
    <w:p w14:paraId="475CAF95"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ukládání hesel uživatelů mohou být použity pouze tyto tzv. pomalé hashovací funkce: </w:t>
      </w:r>
    </w:p>
    <w:p w14:paraId="49C8CE3B"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Argon2i </w:t>
      </w:r>
    </w:p>
    <w:p w14:paraId="379C84E0"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bcrypt </w:t>
      </w:r>
    </w:p>
    <w:p w14:paraId="0AA25E3E"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scrypt </w:t>
      </w:r>
    </w:p>
    <w:p w14:paraId="12063456"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PBKDF2 </w:t>
      </w:r>
    </w:p>
    <w:p w14:paraId="1312897B"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při hashování hesla musí být použit pseudonáhodně vygenerovaný kryptografický salt </w:t>
      </w:r>
    </w:p>
    <w:p w14:paraId="4930FD0A"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ukládání hesel nesmí být použity tzv. rychlé hashovací funkce typu MD-X, SHA-X, apod.</w:t>
      </w:r>
    </w:p>
    <w:p w14:paraId="77683BCD" w14:textId="77777777" w:rsidR="00723F3E" w:rsidRPr="006B1EBF" w:rsidRDefault="00723F3E" w:rsidP="00723F3E">
      <w:pPr>
        <w:pStyle w:val="Bezmezer"/>
        <w:spacing w:before="60"/>
        <w:rPr>
          <w:rFonts w:ascii="Arial" w:hAnsi="Arial" w:cs="Arial"/>
          <w:sz w:val="20"/>
          <w:szCs w:val="20"/>
          <w:lang w:eastAsia="cs-CZ"/>
        </w:rPr>
      </w:pPr>
      <w:bookmarkStart w:id="7" w:name="_Toc15480886"/>
      <w:r w:rsidRPr="006B1EBF">
        <w:rPr>
          <w:rFonts w:ascii="Arial" w:hAnsi="Arial" w:cs="Arial"/>
          <w:sz w:val="20"/>
          <w:szCs w:val="20"/>
          <w:lang w:eastAsia="cs-CZ"/>
        </w:rPr>
        <w:t>Elektronické podepisování e-mailů a dokumentů</w:t>
      </w:r>
      <w:bookmarkEnd w:id="7"/>
      <w:r w:rsidRPr="006B1EBF">
        <w:rPr>
          <w:rFonts w:ascii="Arial" w:hAnsi="Arial" w:cs="Arial"/>
          <w:sz w:val="20"/>
          <w:szCs w:val="20"/>
          <w:lang w:eastAsia="cs-CZ"/>
        </w:rPr>
        <w:t xml:space="preserve"> </w:t>
      </w:r>
    </w:p>
    <w:p w14:paraId="74CB1923"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2E9042AF"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256 bitů a vyšší </w:t>
      </w:r>
    </w:p>
    <w:p w14:paraId="6F5B0DDC" w14:textId="77777777" w:rsidR="00723F3E" w:rsidRPr="006B1EBF" w:rsidRDefault="00723F3E" w:rsidP="00723F3E">
      <w:pPr>
        <w:pStyle w:val="Bezmezer"/>
        <w:spacing w:before="60"/>
        <w:rPr>
          <w:rFonts w:ascii="Arial" w:hAnsi="Arial" w:cs="Arial"/>
          <w:sz w:val="20"/>
          <w:szCs w:val="20"/>
          <w:lang w:eastAsia="cs-CZ"/>
        </w:rPr>
      </w:pPr>
      <w:bookmarkStart w:id="8" w:name="_Toc15480887"/>
      <w:r w:rsidRPr="006B1EBF">
        <w:rPr>
          <w:rFonts w:ascii="Arial" w:hAnsi="Arial" w:cs="Arial"/>
          <w:sz w:val="20"/>
          <w:szCs w:val="20"/>
          <w:lang w:eastAsia="cs-CZ"/>
        </w:rPr>
        <w:t>Ověřování integrity souborů</w:t>
      </w:r>
      <w:bookmarkEnd w:id="8"/>
      <w:r w:rsidRPr="006B1EBF">
        <w:rPr>
          <w:rFonts w:ascii="Arial" w:hAnsi="Arial" w:cs="Arial"/>
          <w:sz w:val="20"/>
          <w:szCs w:val="20"/>
          <w:lang w:eastAsia="cs-CZ"/>
        </w:rPr>
        <w:t xml:space="preserve"> </w:t>
      </w:r>
    </w:p>
    <w:p w14:paraId="132FAC68"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26F5D272"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224 bitů a vyšší </w:t>
      </w:r>
    </w:p>
    <w:p w14:paraId="3F972FE3" w14:textId="77777777" w:rsidR="00723F3E" w:rsidRPr="006B1EBF" w:rsidRDefault="00723F3E" w:rsidP="00723F3E">
      <w:pPr>
        <w:spacing w:before="60" w:after="0" w:line="240" w:lineRule="auto"/>
        <w:textAlignment w:val="center"/>
        <w:rPr>
          <w:rFonts w:ascii="Arial" w:eastAsia="Times New Roman" w:hAnsi="Arial" w:cs="Arial"/>
          <w:sz w:val="20"/>
          <w:szCs w:val="20"/>
          <w:lang w:eastAsia="cs-CZ"/>
        </w:rPr>
      </w:pPr>
      <w:bookmarkStart w:id="9" w:name="_Toc15480888"/>
    </w:p>
    <w:p w14:paraId="2614F474" w14:textId="77777777" w:rsidR="00723F3E" w:rsidRPr="006B1EBF" w:rsidRDefault="00723F3E" w:rsidP="00723F3E">
      <w:pPr>
        <w:spacing w:before="60" w:after="0" w:line="240" w:lineRule="auto"/>
        <w:rPr>
          <w:rFonts w:ascii="Arial" w:hAnsi="Arial" w:cs="Arial"/>
          <w:b/>
          <w:sz w:val="20"/>
          <w:szCs w:val="20"/>
        </w:rPr>
      </w:pPr>
      <w:r w:rsidRPr="006B1EBF">
        <w:rPr>
          <w:rFonts w:ascii="Arial" w:hAnsi="Arial" w:cs="Arial"/>
          <w:b/>
          <w:sz w:val="20"/>
          <w:szCs w:val="20"/>
        </w:rPr>
        <w:t>Asymetrická kryptografie</w:t>
      </w:r>
      <w:bookmarkEnd w:id="9"/>
      <w:r w:rsidRPr="006B1EBF">
        <w:rPr>
          <w:rFonts w:ascii="Arial" w:hAnsi="Arial" w:cs="Arial"/>
          <w:b/>
          <w:sz w:val="20"/>
          <w:szCs w:val="20"/>
        </w:rPr>
        <w:t xml:space="preserve"> </w:t>
      </w:r>
    </w:p>
    <w:p w14:paraId="0CF2C994" w14:textId="77777777" w:rsidR="00723F3E" w:rsidRPr="006B1EBF" w:rsidRDefault="00723F3E" w:rsidP="00723F3E">
      <w:pPr>
        <w:pStyle w:val="Bezmezer"/>
        <w:spacing w:before="60"/>
        <w:rPr>
          <w:rFonts w:ascii="Arial" w:hAnsi="Arial" w:cs="Arial"/>
          <w:sz w:val="20"/>
          <w:szCs w:val="20"/>
          <w:lang w:eastAsia="cs-CZ"/>
        </w:rPr>
      </w:pPr>
      <w:bookmarkStart w:id="10" w:name="_Toc15480889"/>
      <w:r w:rsidRPr="006B1EBF">
        <w:rPr>
          <w:rFonts w:ascii="Arial" w:hAnsi="Arial" w:cs="Arial"/>
          <w:sz w:val="20"/>
          <w:szCs w:val="20"/>
          <w:lang w:eastAsia="cs-CZ"/>
        </w:rPr>
        <w:t>SSL/TLS</w:t>
      </w:r>
      <w:bookmarkEnd w:id="10"/>
      <w:r w:rsidRPr="006B1EBF">
        <w:rPr>
          <w:rFonts w:ascii="Arial" w:hAnsi="Arial" w:cs="Arial"/>
          <w:sz w:val="20"/>
          <w:szCs w:val="20"/>
          <w:lang w:eastAsia="cs-CZ"/>
        </w:rPr>
        <w:t xml:space="preserve"> </w:t>
      </w:r>
    </w:p>
    <w:p w14:paraId="592BF886" w14:textId="77777777" w:rsidR="00723F3E" w:rsidRPr="006B1EBF" w:rsidRDefault="00723F3E" w:rsidP="00723F3E">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verze protokolu minimálně TLSv1.2 a vyšší </w:t>
      </w:r>
    </w:p>
    <w:p w14:paraId="06EA0AA5" w14:textId="77777777" w:rsidR="00723F3E" w:rsidRPr="006B1EBF" w:rsidRDefault="00723F3E" w:rsidP="00723F3E">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konfigurace </w:t>
      </w:r>
    </w:p>
    <w:p w14:paraId="5BA706E0"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 musí být vybrána na základě serverem preferovaného pořadí </w:t>
      </w:r>
    </w:p>
    <w:p w14:paraId="31BF9C4A"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priority musí mít cipher suites, které obsahují varianty asymetrických algoritmů s eliptickými křivkami, např.: </w:t>
      </w:r>
    </w:p>
    <w:p w14:paraId="1EDB7F5A"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ECDHE musí mít vyšší prioritu než DHE </w:t>
      </w:r>
    </w:p>
    <w:p w14:paraId="65B16993"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ECDSA musí mít vyšší prioritu než DSA </w:t>
      </w:r>
    </w:p>
    <w:p w14:paraId="622C09FC"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všechny EXPORT cipher suites musí být zakázány </w:t>
      </w:r>
    </w:p>
    <w:p w14:paraId="4E8803BA"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algoritmy a funkce pro výměnu klíčů</w:t>
      </w:r>
    </w:p>
    <w:p w14:paraId="5303E816"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pro výměnu klíčů musí podporovat Perfect forward secrecy </w:t>
      </w:r>
    </w:p>
    <w:p w14:paraId="57EB74F3"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tzn., že šifrovací klíč je vyměněn mezi klientem a serverem tak, aby jej nebylo možné získat se znalostí privátního klíče serveru, např. musí být použit Diffie-Hellman (DH nebo ECDH) algoritmus</w:t>
      </w:r>
      <w:r w:rsidRPr="006B1EBF">
        <w:rPr>
          <w:rFonts w:ascii="Arial" w:eastAsia="Times New Roman" w:hAnsi="Arial" w:cs="Arial"/>
          <w:i/>
          <w:iCs/>
          <w:color w:val="000000"/>
          <w:sz w:val="20"/>
          <w:szCs w:val="20"/>
          <w:lang w:eastAsia="cs-CZ"/>
        </w:rPr>
        <w:t xml:space="preserve"> </w:t>
      </w:r>
    </w:p>
    <w:p w14:paraId="7EF269C3"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 navíc se musí jednat o tzv. ephemeral Diffie-Hellman (DHE, ECDHE), tzn., že pro každou session je generován nový set Diffie-Hellman klíčů  </w:t>
      </w:r>
    </w:p>
    <w:p w14:paraId="34D055BA"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délky klíčů: </w:t>
      </w:r>
    </w:p>
    <w:p w14:paraId="37758C06"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Diffie-Hellman (DH) -  2048 bitů a více (postupně přecházet na 3072 bitů, tam kde to bude možné)</w:t>
      </w:r>
    </w:p>
    <w:p w14:paraId="338998A6"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Elliptic Curve Diffie-Hellman (ECDH) – 256 bitů a více </w:t>
      </w:r>
    </w:p>
    <w:p w14:paraId="40B1E34F"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anonymní výměna klíčů </w:t>
      </w:r>
    </w:p>
    <w:p w14:paraId="036A20B9"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autentizaci </w:t>
      </w:r>
    </w:p>
    <w:p w14:paraId="19761693"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délky klíčů: </w:t>
      </w:r>
    </w:p>
    <w:p w14:paraId="624CD62C"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RSA - 2048 bitů (postupně přecházet na 3072 bitů, tam kde to bude možné)</w:t>
      </w:r>
    </w:p>
    <w:p w14:paraId="38C14ED8"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ECDSA - 256 bitů</w:t>
      </w:r>
    </w:p>
    <w:p w14:paraId="6AFA8DC8"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symetrické šifrování </w:t>
      </w:r>
    </w:p>
    <w:p w14:paraId="291E1F47"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hodnota NULL v cipher suites </w:t>
      </w:r>
    </w:p>
    <w:p w14:paraId="03A2B6BF"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14496999" w14:textId="77777777" w:rsidR="00723F3E" w:rsidRPr="006B1EBF" w:rsidRDefault="00723F3E" w:rsidP="00723F3E">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
    <w:p w14:paraId="5F64CC80"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39063400"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suites s šiframi s větší délkou klíče musí mít větší prioritu v seznamu ciphersuites než s menší délkou klíče </w:t>
      </w:r>
    </w:p>
    <w:p w14:paraId="3E05B440"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MAC (Message Authentication Code) </w:t>
      </w:r>
    </w:p>
    <w:p w14:paraId="7BE0C354"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použití SHA funkce s minimální délkou hashe 256 bitů </w:t>
      </w:r>
    </w:p>
    <w:p w14:paraId="78B263AD" w14:textId="77777777" w:rsidR="00723F3E" w:rsidRPr="006B1EBF" w:rsidRDefault="00723F3E" w:rsidP="00723F3E">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vyšší délky otisků musí mít vyšší prioritu v cipher suites </w:t>
      </w:r>
    </w:p>
    <w:p w14:paraId="6EA6CEEB" w14:textId="77777777" w:rsidR="00723F3E" w:rsidRPr="006B1EBF" w:rsidRDefault="00723F3E" w:rsidP="00723F3E">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Certifikáty dodá zadavatel </w:t>
      </w:r>
    </w:p>
    <w:p w14:paraId="105CFCF1" w14:textId="77777777" w:rsidR="00723F3E" w:rsidRPr="006B1EBF" w:rsidRDefault="00723F3E" w:rsidP="00723F3E">
      <w:pPr>
        <w:spacing w:before="60" w:after="0" w:line="240" w:lineRule="auto"/>
        <w:textAlignment w:val="center"/>
        <w:rPr>
          <w:rFonts w:ascii="Arial" w:hAnsi="Arial" w:cs="Arial"/>
          <w:sz w:val="20"/>
          <w:szCs w:val="20"/>
          <w:lang w:eastAsia="cs-CZ"/>
        </w:rPr>
      </w:pPr>
    </w:p>
    <w:p w14:paraId="5A606EDC" w14:textId="77777777" w:rsidR="00723F3E" w:rsidRPr="006B1EBF" w:rsidRDefault="00723F3E" w:rsidP="00723F3E">
      <w:pPr>
        <w:pStyle w:val="Bezmezer"/>
        <w:spacing w:before="60"/>
        <w:rPr>
          <w:rFonts w:ascii="Arial" w:hAnsi="Arial" w:cs="Arial"/>
          <w:sz w:val="20"/>
          <w:szCs w:val="20"/>
          <w:lang w:eastAsia="cs-CZ"/>
        </w:rPr>
      </w:pPr>
      <w:bookmarkStart w:id="11" w:name="_Toc40962181"/>
      <w:r w:rsidRPr="006B1EBF">
        <w:rPr>
          <w:rFonts w:ascii="Arial" w:hAnsi="Arial" w:cs="Arial"/>
          <w:sz w:val="20"/>
          <w:szCs w:val="20"/>
          <w:lang w:eastAsia="cs-CZ"/>
        </w:rPr>
        <w:t>TLS cipher suites</w:t>
      </w:r>
      <w:bookmarkEnd w:id="11"/>
      <w:r w:rsidRPr="006B1EBF">
        <w:rPr>
          <w:rFonts w:ascii="Arial" w:hAnsi="Arial" w:cs="Arial"/>
          <w:sz w:val="20"/>
          <w:szCs w:val="20"/>
          <w:lang w:eastAsia="cs-CZ"/>
        </w:rPr>
        <w:t xml:space="preserve"> </w:t>
      </w:r>
    </w:p>
    <w:p w14:paraId="4089C86F" w14:textId="77777777" w:rsidR="00723F3E" w:rsidRPr="006B1EBF" w:rsidRDefault="00723F3E" w:rsidP="00723F3E">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Doporučené cipher suites (v doporučeném pořadí), které naplňují výše zmíněné požadavky </w:t>
      </w:r>
    </w:p>
    <w:p w14:paraId="00DB345A" w14:textId="77777777" w:rsidR="00723F3E" w:rsidRPr="006B1EBF" w:rsidRDefault="00723F3E" w:rsidP="00723F3E">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TLS1.3: </w:t>
      </w:r>
    </w:p>
    <w:p w14:paraId="747414FE"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TLS_AES_256_GCM_SHA384</w:t>
      </w:r>
    </w:p>
    <w:p w14:paraId="24564C3D"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TLS_CHACHA20_POLY1305_SHA256</w:t>
      </w:r>
    </w:p>
    <w:p w14:paraId="1DB777D6"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TLS_AES_128_GCM_SHA256</w:t>
      </w:r>
    </w:p>
    <w:p w14:paraId="227CFEA6"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 xml:space="preserve">TLS_AES_128_CCM_SHA256 </w:t>
      </w:r>
    </w:p>
    <w:p w14:paraId="3041D8BC" w14:textId="77777777" w:rsidR="00723F3E" w:rsidRPr="006B1EBF" w:rsidRDefault="00723F3E" w:rsidP="00723F3E">
      <w:pPr>
        <w:pStyle w:val="Odstavecseseznamem"/>
        <w:spacing w:before="60"/>
        <w:jc w:val="left"/>
        <w:textAlignment w:val="center"/>
        <w:rPr>
          <w:rFonts w:ascii="Arial" w:hAnsi="Arial" w:cs="Arial"/>
        </w:rPr>
      </w:pPr>
    </w:p>
    <w:p w14:paraId="69246123" w14:textId="77777777" w:rsidR="00723F3E" w:rsidRPr="006B1EBF" w:rsidRDefault="00723F3E" w:rsidP="00723F3E">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TLS1.2: </w:t>
      </w:r>
    </w:p>
    <w:p w14:paraId="33AF6870"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TLS_ECDHE_ECDSA_WITH_AES_256_GCM_SHA384</w:t>
      </w:r>
    </w:p>
    <w:p w14:paraId="6B4659AA"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TLS_ECDHE_ECDSA_WITH_CHACHA20_POLY1305_SHA256</w:t>
      </w:r>
    </w:p>
    <w:p w14:paraId="04EACBD1"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TLS_ECDHE_ECDSA_WITH_AES_128_GCM_SHA256</w:t>
      </w:r>
    </w:p>
    <w:p w14:paraId="3E99CA8C"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TLS_ECDHE_RSA_WITH_AES_256_GCM_SHA384</w:t>
      </w:r>
    </w:p>
    <w:p w14:paraId="2CFC2A7D"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TLS_ECDHE_RSA_WITH_CHACHA20_POLY1305_SHA256</w:t>
      </w:r>
    </w:p>
    <w:p w14:paraId="60F6B7C7"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TLS_ECDHE_RSA_WITH_AES_128_GCM_SHA256</w:t>
      </w:r>
    </w:p>
    <w:p w14:paraId="73F53A3C"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TLS_DHE_RSA_WITH_AES_256_GCM_SHA384</w:t>
      </w:r>
    </w:p>
    <w:p w14:paraId="21C8140C" w14:textId="77777777" w:rsidR="00723F3E" w:rsidRPr="006B1EBF" w:rsidRDefault="00723F3E" w:rsidP="00723F3E">
      <w:pPr>
        <w:pStyle w:val="Odstavecseseznamem"/>
        <w:spacing w:before="60"/>
        <w:jc w:val="left"/>
        <w:textAlignment w:val="center"/>
        <w:rPr>
          <w:rFonts w:ascii="Arial" w:hAnsi="Arial" w:cs="Arial"/>
        </w:rPr>
      </w:pPr>
      <w:r w:rsidRPr="006B1EBF">
        <w:rPr>
          <w:rFonts w:ascii="Arial" w:hAnsi="Arial" w:cs="Arial"/>
        </w:rPr>
        <w:t>TLS_DHE_RSA_WITH_AES_128_GCM_SHA256</w:t>
      </w:r>
    </w:p>
    <w:p w14:paraId="13B5DAC4" w14:textId="77777777" w:rsidR="00723F3E" w:rsidRPr="006B1EBF" w:rsidRDefault="00723F3E" w:rsidP="00723F3E">
      <w:pPr>
        <w:spacing w:before="60" w:after="0" w:line="240" w:lineRule="auto"/>
        <w:ind w:firstLine="708"/>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TLS_DHE_RSA_WITH_CHACHA20_POLY1305_SHA256 </w:t>
      </w:r>
    </w:p>
    <w:p w14:paraId="429652D7" w14:textId="77777777" w:rsidR="00723F3E" w:rsidRPr="006B1EBF" w:rsidRDefault="00723F3E" w:rsidP="00723F3E">
      <w:pPr>
        <w:pStyle w:val="Odstavecseseznamem"/>
        <w:spacing w:before="60"/>
        <w:textAlignment w:val="center"/>
        <w:rPr>
          <w:rFonts w:ascii="Arial" w:hAnsi="Arial" w:cs="Arial"/>
        </w:rPr>
      </w:pPr>
    </w:p>
    <w:p w14:paraId="1BF4E071" w14:textId="77777777" w:rsidR="00723F3E" w:rsidRPr="006B1EBF" w:rsidRDefault="00723F3E" w:rsidP="00723F3E">
      <w:pPr>
        <w:pStyle w:val="Bezmezer"/>
        <w:spacing w:before="60"/>
        <w:rPr>
          <w:rFonts w:ascii="Arial" w:hAnsi="Arial" w:cs="Arial"/>
          <w:sz w:val="20"/>
          <w:szCs w:val="20"/>
          <w:lang w:eastAsia="cs-CZ"/>
        </w:rPr>
      </w:pPr>
      <w:bookmarkStart w:id="12" w:name="_Toc15480890"/>
      <w:r w:rsidRPr="006B1EBF">
        <w:rPr>
          <w:rFonts w:ascii="Arial" w:hAnsi="Arial" w:cs="Arial"/>
          <w:sz w:val="20"/>
          <w:szCs w:val="20"/>
          <w:lang w:eastAsia="cs-CZ"/>
        </w:rPr>
        <w:t>Šifrování, podepisování a autentizace</w:t>
      </w:r>
      <w:bookmarkEnd w:id="12"/>
      <w:r w:rsidRPr="006B1EBF">
        <w:rPr>
          <w:rFonts w:ascii="Arial" w:hAnsi="Arial" w:cs="Arial"/>
          <w:sz w:val="20"/>
          <w:szCs w:val="20"/>
          <w:lang w:eastAsia="cs-CZ"/>
        </w:rPr>
        <w:t xml:space="preserve"> </w:t>
      </w:r>
    </w:p>
    <w:p w14:paraId="1C531CD4"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týká se různých technologií PKI, PGP, S/MIME, SSH, apod. </w:t>
      </w:r>
    </w:p>
    <w:p w14:paraId="3B85B952"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klíče </w:t>
      </w:r>
    </w:p>
    <w:p w14:paraId="1423637F"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algoritmus DSA – 2048 bitů (postupně přecházet na 3072 bitů, tam kde to bude možné)</w:t>
      </w:r>
    </w:p>
    <w:p w14:paraId="2CACB769"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algoritmus RSA - 2048 bitů (postupně přecházet na 3072 bitů, tam kde to bude možné)</w:t>
      </w:r>
    </w:p>
    <w:p w14:paraId="7904FA6D"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ECDSA - 256 bitů </w:t>
      </w:r>
    </w:p>
    <w:p w14:paraId="4F082C25"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Ověřování (např. SSH klíče) </w:t>
      </w:r>
    </w:p>
    <w:p w14:paraId="07926DB9"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délka klíče minimálně 2048 bitů u RSA a DSA algoritmů (postupně přecházet na 3072 bitů, tam kde to bude možné)</w:t>
      </w:r>
    </w:p>
    <w:p w14:paraId="1788035D"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256 bitů u algoritmů používajících eliptické křivky </w:t>
      </w:r>
    </w:p>
    <w:p w14:paraId="57F5C041" w14:textId="77777777" w:rsidR="00723F3E" w:rsidRPr="006B1EBF" w:rsidRDefault="00723F3E" w:rsidP="00723F3E">
      <w:pPr>
        <w:spacing w:before="60" w:after="0" w:line="240" w:lineRule="auto"/>
        <w:rPr>
          <w:rFonts w:ascii="Arial" w:hAnsi="Arial" w:cs="Arial"/>
          <w:b/>
          <w:sz w:val="20"/>
          <w:szCs w:val="20"/>
        </w:rPr>
      </w:pPr>
      <w:bookmarkStart w:id="13" w:name="_Toc15480891"/>
    </w:p>
    <w:p w14:paraId="09DD63AB" w14:textId="77777777" w:rsidR="00723F3E" w:rsidRPr="006B1EBF" w:rsidRDefault="00723F3E" w:rsidP="00723F3E">
      <w:pPr>
        <w:spacing w:before="60" w:after="0" w:line="240" w:lineRule="auto"/>
        <w:rPr>
          <w:rFonts w:ascii="Arial" w:hAnsi="Arial" w:cs="Arial"/>
          <w:b/>
          <w:sz w:val="20"/>
          <w:szCs w:val="20"/>
        </w:rPr>
      </w:pPr>
      <w:r w:rsidRPr="006B1EBF">
        <w:rPr>
          <w:rFonts w:ascii="Arial" w:hAnsi="Arial" w:cs="Arial"/>
          <w:b/>
          <w:sz w:val="20"/>
          <w:szCs w:val="20"/>
        </w:rPr>
        <w:t>Symetrická kryptografie</w:t>
      </w:r>
      <w:bookmarkEnd w:id="13"/>
      <w:r w:rsidRPr="006B1EBF">
        <w:rPr>
          <w:rFonts w:ascii="Arial" w:hAnsi="Arial" w:cs="Arial"/>
          <w:b/>
          <w:sz w:val="20"/>
          <w:szCs w:val="20"/>
        </w:rPr>
        <w:t xml:space="preserve"> </w:t>
      </w:r>
    </w:p>
    <w:p w14:paraId="0D4559BC"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38904721"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Blowfish, Kasumi  </w:t>
      </w:r>
    </w:p>
    <w:p w14:paraId="1205A1EB"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7D21818B"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šifru Chacha20 minimálně 256 bitů a se zatížením klíče menším než 256 GB </w:t>
      </w:r>
    </w:p>
    <w:p w14:paraId="0973B526" w14:textId="77777777" w:rsidR="00723F3E" w:rsidRPr="006B1EBF" w:rsidRDefault="00723F3E" w:rsidP="00723F3E">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módy pro ochranu integrity: </w:t>
      </w:r>
    </w:p>
    <w:p w14:paraId="36F92BD3" w14:textId="77777777" w:rsidR="00723F3E" w:rsidRPr="006B1EBF" w:rsidRDefault="00723F3E" w:rsidP="00723F3E">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HMAC-SHA1, CBC-MAC-X9.19.</w:t>
      </w:r>
    </w:p>
    <w:p w14:paraId="35CB88B7" w14:textId="77777777" w:rsidR="00CE3A72" w:rsidRDefault="00CE3A72">
      <w:pPr>
        <w:spacing w:after="0" w:line="240" w:lineRule="auto"/>
      </w:pPr>
      <w:r>
        <w:br w:type="page"/>
      </w:r>
    </w:p>
    <w:p w14:paraId="3CA0305E" w14:textId="76861B08"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B49F8" w14:textId="77777777" w:rsidR="00DE06C4" w:rsidRDefault="00DE06C4" w:rsidP="00B879B8">
      <w:pPr>
        <w:spacing w:after="0" w:line="240" w:lineRule="auto"/>
      </w:pPr>
      <w:r>
        <w:separator/>
      </w:r>
    </w:p>
  </w:endnote>
  <w:endnote w:type="continuationSeparator" w:id="0">
    <w:p w14:paraId="0D78370B" w14:textId="77777777" w:rsidR="00DE06C4" w:rsidRDefault="00DE06C4"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748BFA68"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270796">
      <w:rPr>
        <w:rFonts w:ascii="Arial" w:hAnsi="Arial" w:cs="Arial"/>
        <w:b/>
        <w:noProof/>
        <w:sz w:val="20"/>
        <w:szCs w:val="20"/>
      </w:rPr>
      <w:t>6</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270796">
      <w:rPr>
        <w:rFonts w:ascii="Arial" w:hAnsi="Arial" w:cs="Arial"/>
        <w:b/>
        <w:noProof/>
        <w:sz w:val="20"/>
        <w:szCs w:val="20"/>
      </w:rPr>
      <w:t>14</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33BA2573"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270796">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270796">
      <w:rPr>
        <w:rFonts w:cs="Arial"/>
        <w:b/>
        <w:noProof/>
        <w:sz w:val="20"/>
        <w:szCs w:val="20"/>
      </w:rPr>
      <w:t>14</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27F29" w14:textId="77777777" w:rsidR="00DE06C4" w:rsidRDefault="00DE06C4" w:rsidP="00B879B8">
      <w:pPr>
        <w:spacing w:after="0" w:line="240" w:lineRule="auto"/>
      </w:pPr>
      <w:r>
        <w:separator/>
      </w:r>
    </w:p>
  </w:footnote>
  <w:footnote w:type="continuationSeparator" w:id="0">
    <w:p w14:paraId="4E2F8D21" w14:textId="77777777" w:rsidR="00DE06C4" w:rsidRDefault="00DE06C4"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 _Software</w:t>
    </w:r>
  </w:p>
  <w:p w14:paraId="74D57963" w14:textId="77777777"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36A8C300"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FE6ACE">
      <w:rPr>
        <w:rFonts w:ascii="Arial" w:eastAsia="Times New Roman" w:hAnsi="Arial" w:cs="Arial"/>
        <w:sz w:val="20"/>
        <w:szCs w:val="20"/>
        <w:lang w:val="cs-CZ" w:eastAsia="cs-CZ"/>
      </w:rPr>
      <w:t>6</w:t>
    </w:r>
    <w:r w:rsidRPr="00006F5F">
      <w:rPr>
        <w:rFonts w:ascii="Arial" w:eastAsia="Times New Roman" w:hAnsi="Arial" w:cs="Arial"/>
        <w:sz w:val="20"/>
        <w:szCs w:val="20"/>
        <w:lang w:eastAsia="cs-CZ"/>
      </w:rPr>
      <w:t xml:space="preserve"> 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9776"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BF8"/>
    <w:rsid w:val="00086B9A"/>
    <w:rsid w:val="00087C15"/>
    <w:rsid w:val="000A41D9"/>
    <w:rsid w:val="000A77C5"/>
    <w:rsid w:val="000C0DC0"/>
    <w:rsid w:val="000D2324"/>
    <w:rsid w:val="000D6656"/>
    <w:rsid w:val="000F17D5"/>
    <w:rsid w:val="000F1840"/>
    <w:rsid w:val="000F2687"/>
    <w:rsid w:val="00115380"/>
    <w:rsid w:val="001216A1"/>
    <w:rsid w:val="00121FA4"/>
    <w:rsid w:val="00123AB0"/>
    <w:rsid w:val="00124120"/>
    <w:rsid w:val="001270B1"/>
    <w:rsid w:val="001338EE"/>
    <w:rsid w:val="00134383"/>
    <w:rsid w:val="00140CEE"/>
    <w:rsid w:val="0014383F"/>
    <w:rsid w:val="00147F32"/>
    <w:rsid w:val="00150C1B"/>
    <w:rsid w:val="001676C6"/>
    <w:rsid w:val="0017275C"/>
    <w:rsid w:val="0018439D"/>
    <w:rsid w:val="00184DE9"/>
    <w:rsid w:val="00186D6C"/>
    <w:rsid w:val="00190CFD"/>
    <w:rsid w:val="00196EFD"/>
    <w:rsid w:val="001A2862"/>
    <w:rsid w:val="001B3EA3"/>
    <w:rsid w:val="001B5177"/>
    <w:rsid w:val="001C497D"/>
    <w:rsid w:val="001D4C44"/>
    <w:rsid w:val="001D6FE6"/>
    <w:rsid w:val="001E2733"/>
    <w:rsid w:val="001F5E82"/>
    <w:rsid w:val="002109CC"/>
    <w:rsid w:val="00211B56"/>
    <w:rsid w:val="00221200"/>
    <w:rsid w:val="00221D37"/>
    <w:rsid w:val="00242A43"/>
    <w:rsid w:val="00243141"/>
    <w:rsid w:val="00243EF0"/>
    <w:rsid w:val="002449F6"/>
    <w:rsid w:val="00244C2F"/>
    <w:rsid w:val="00247A22"/>
    <w:rsid w:val="00251A93"/>
    <w:rsid w:val="0025277A"/>
    <w:rsid w:val="00257DE4"/>
    <w:rsid w:val="00270796"/>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6009"/>
    <w:rsid w:val="003A5B48"/>
    <w:rsid w:val="003B1BD6"/>
    <w:rsid w:val="003B5494"/>
    <w:rsid w:val="003E6D82"/>
    <w:rsid w:val="003F51E8"/>
    <w:rsid w:val="00403DC8"/>
    <w:rsid w:val="00403F7E"/>
    <w:rsid w:val="00405198"/>
    <w:rsid w:val="00406EE7"/>
    <w:rsid w:val="00411F30"/>
    <w:rsid w:val="0041654E"/>
    <w:rsid w:val="00420F24"/>
    <w:rsid w:val="00443F35"/>
    <w:rsid w:val="0044473D"/>
    <w:rsid w:val="0045127A"/>
    <w:rsid w:val="00452713"/>
    <w:rsid w:val="00452E8C"/>
    <w:rsid w:val="0045796F"/>
    <w:rsid w:val="00464884"/>
    <w:rsid w:val="00467AAB"/>
    <w:rsid w:val="004731CC"/>
    <w:rsid w:val="00475FAC"/>
    <w:rsid w:val="004816D9"/>
    <w:rsid w:val="0049338E"/>
    <w:rsid w:val="00495C16"/>
    <w:rsid w:val="004A31B5"/>
    <w:rsid w:val="004A6E84"/>
    <w:rsid w:val="004B7A0A"/>
    <w:rsid w:val="004C25AF"/>
    <w:rsid w:val="004C38E0"/>
    <w:rsid w:val="004D1536"/>
    <w:rsid w:val="004D6286"/>
    <w:rsid w:val="004E2FFB"/>
    <w:rsid w:val="004E4505"/>
    <w:rsid w:val="004E6E8C"/>
    <w:rsid w:val="004F1F92"/>
    <w:rsid w:val="00513108"/>
    <w:rsid w:val="005179B3"/>
    <w:rsid w:val="00523B22"/>
    <w:rsid w:val="0053165F"/>
    <w:rsid w:val="00540E2E"/>
    <w:rsid w:val="00544A81"/>
    <w:rsid w:val="005456D9"/>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6682"/>
    <w:rsid w:val="00662E53"/>
    <w:rsid w:val="00667C16"/>
    <w:rsid w:val="00667E8D"/>
    <w:rsid w:val="00697600"/>
    <w:rsid w:val="006A6BAF"/>
    <w:rsid w:val="006A7BB8"/>
    <w:rsid w:val="006B0AF9"/>
    <w:rsid w:val="006B5564"/>
    <w:rsid w:val="006C31C6"/>
    <w:rsid w:val="006D01C8"/>
    <w:rsid w:val="006E264B"/>
    <w:rsid w:val="006E5424"/>
    <w:rsid w:val="006F1177"/>
    <w:rsid w:val="006F1328"/>
    <w:rsid w:val="0070287C"/>
    <w:rsid w:val="00705CB5"/>
    <w:rsid w:val="00716E08"/>
    <w:rsid w:val="007233E2"/>
    <w:rsid w:val="00723B0E"/>
    <w:rsid w:val="00723F3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C2CB3"/>
    <w:rsid w:val="008C2FCB"/>
    <w:rsid w:val="008C4BC0"/>
    <w:rsid w:val="008D18F2"/>
    <w:rsid w:val="008D5AFD"/>
    <w:rsid w:val="008E1169"/>
    <w:rsid w:val="008E3AE0"/>
    <w:rsid w:val="008E43B7"/>
    <w:rsid w:val="008F0AC3"/>
    <w:rsid w:val="00902EA6"/>
    <w:rsid w:val="0091376C"/>
    <w:rsid w:val="00916B77"/>
    <w:rsid w:val="00922DA9"/>
    <w:rsid w:val="00923892"/>
    <w:rsid w:val="00923C53"/>
    <w:rsid w:val="0093336B"/>
    <w:rsid w:val="009356E5"/>
    <w:rsid w:val="00950B94"/>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7649"/>
    <w:rsid w:val="00A22DDC"/>
    <w:rsid w:val="00A25D83"/>
    <w:rsid w:val="00A3073E"/>
    <w:rsid w:val="00A415D8"/>
    <w:rsid w:val="00A50096"/>
    <w:rsid w:val="00A60390"/>
    <w:rsid w:val="00A61069"/>
    <w:rsid w:val="00A651E6"/>
    <w:rsid w:val="00A74FFD"/>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5F0F"/>
    <w:rsid w:val="00B362DD"/>
    <w:rsid w:val="00B404F5"/>
    <w:rsid w:val="00B427CF"/>
    <w:rsid w:val="00B56F17"/>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A2119"/>
    <w:rsid w:val="00DA264B"/>
    <w:rsid w:val="00DA34F0"/>
    <w:rsid w:val="00DB14C3"/>
    <w:rsid w:val="00DB3F21"/>
    <w:rsid w:val="00DB6CD5"/>
    <w:rsid w:val="00DC1A29"/>
    <w:rsid w:val="00DC4FB0"/>
    <w:rsid w:val="00DC7283"/>
    <w:rsid w:val="00DD0C3E"/>
    <w:rsid w:val="00DE06C4"/>
    <w:rsid w:val="00DE1B50"/>
    <w:rsid w:val="00DE7D01"/>
    <w:rsid w:val="00DF2E9C"/>
    <w:rsid w:val="00E00DB4"/>
    <w:rsid w:val="00E05420"/>
    <w:rsid w:val="00E11FF7"/>
    <w:rsid w:val="00E2267B"/>
    <w:rsid w:val="00E2418A"/>
    <w:rsid w:val="00E3160C"/>
    <w:rsid w:val="00E356E1"/>
    <w:rsid w:val="00E35D2B"/>
    <w:rsid w:val="00E37CA4"/>
    <w:rsid w:val="00E40F3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E677F"/>
    <w:rsid w:val="00FE6ACE"/>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723F3E"/>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00C7F8940A413D8A27CA2276C44BE1"/>
        <w:category>
          <w:name w:val="Obecné"/>
          <w:gallery w:val="placeholder"/>
        </w:category>
        <w:types>
          <w:type w:val="bbPlcHdr"/>
        </w:types>
        <w:behaviors>
          <w:behavior w:val="content"/>
        </w:behaviors>
        <w:guid w:val="{5FC157D0-B48E-45F7-AD87-2BEACC33B67A}"/>
      </w:docPartPr>
      <w:docPartBody>
        <w:p w:rsidR="00EE0706" w:rsidRDefault="00694812" w:rsidP="00694812">
          <w:pPr>
            <w:pStyle w:val="F300C7F8940A413D8A27CA2276C44BE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12"/>
    <w:rsid w:val="00694812"/>
    <w:rsid w:val="00EE07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94812"/>
  </w:style>
  <w:style w:type="paragraph" w:customStyle="1" w:styleId="D4EDBE87ECEB48D68925606136AECD90">
    <w:name w:val="D4EDBE87ECEB48D68925606136AECD90"/>
    <w:rsid w:val="00694812"/>
  </w:style>
  <w:style w:type="paragraph" w:customStyle="1" w:styleId="F300C7F8940A413D8A27CA2276C44BE1">
    <w:name w:val="F300C7F8940A413D8A27CA2276C44BE1"/>
    <w:rsid w:val="006948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78C1-9030-45C6-AA39-E9231AA3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14</Pages>
  <Words>5191</Words>
  <Characters>30628</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32</cp:revision>
  <cp:lastPrinted>2013-12-10T11:52:00Z</cp:lastPrinted>
  <dcterms:created xsi:type="dcterms:W3CDTF">2017-12-21T08:38:00Z</dcterms:created>
  <dcterms:modified xsi:type="dcterms:W3CDTF">2023-03-03T14:24:00Z</dcterms:modified>
</cp:coreProperties>
</file>