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78E37060" w:rsidR="00EF7A8B" w:rsidRPr="002F54E6" w:rsidRDefault="00DF05EB" w:rsidP="008613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8613E7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2D0FC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613E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1D6174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3ACDBD4B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8613E7" w:rsidRPr="008613E7">
        <w:rPr>
          <w:rFonts w:ascii="Arial" w:hAnsi="Arial" w:cs="Arial"/>
          <w:b/>
          <w:bCs/>
          <w:sz w:val="22"/>
          <w:szCs w:val="22"/>
        </w:rPr>
        <w:t>III/1281 Košetice - Vyklantice</w:t>
      </w:r>
    </w:p>
    <w:p w14:paraId="1CE3B17A" w14:textId="1E93C49F" w:rsidR="00F337B7" w:rsidRPr="00026822" w:rsidRDefault="008613E7" w:rsidP="00F337B7">
      <w:pPr>
        <w:pStyle w:val="Arial"/>
      </w:pPr>
      <w:r w:rsidRPr="008613E7">
        <w:rPr>
          <w:rFonts w:eastAsia="MS Mincho"/>
          <w:spacing w:val="-6"/>
          <w:szCs w:val="22"/>
        </w:rPr>
        <w:t>Jedná se o rekonstrukci silnice III/1281, která proběhne ve stávající trase v celkové délce 5,627 km. Začátek úpravy je v místě pracovní spáry před křižovatkou silnic III/1281 x III/12813 x III/1282 před obcí Vyklantice. Konec úpravy je v místě křižovatky silnice III/1281 x sil. III/12920a v obci Košetice. Rekonstruovaný úsek je rozdělen na 4 úseky, tomuto rozdělení odpovídá členění stavebních objektů.</w:t>
      </w:r>
    </w:p>
    <w:p w14:paraId="419F3CE3" w14:textId="6884CE61" w:rsidR="00F337B7" w:rsidRPr="00026822" w:rsidRDefault="00F337B7" w:rsidP="00F337B7">
      <w:pPr>
        <w:pStyle w:val="Arial"/>
      </w:pPr>
    </w:p>
    <w:p w14:paraId="33647B28" w14:textId="2E222D71" w:rsidR="007F6FD1" w:rsidRPr="005024D9" w:rsidRDefault="008613E7" w:rsidP="007F6FD1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8613E7">
        <w:rPr>
          <w:rFonts w:ascii="Arial" w:eastAsia="MS Mincho" w:hAnsi="Arial" w:cs="Arial"/>
          <w:spacing w:val="-4"/>
          <w:sz w:val="22"/>
          <w:szCs w:val="22"/>
        </w:rPr>
        <w:t>Stavba bude realizována dle projektové dokumentace „III/1281 Košetice - Vyklantice“ vypracované ve stupni PDPS společností DOPRAPLAN s.r.o., IČO 05411572 a.s. v únoru 2022.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10E2DEB8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CD3231">
        <w:rPr>
          <w:rFonts w:ascii="Arial" w:hAnsi="Arial" w:cs="Arial"/>
          <w:sz w:val="22"/>
          <w:szCs w:val="22"/>
        </w:rPr>
        <w:t>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3123035F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</w:t>
      </w:r>
      <w:r w:rsidR="008613E7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I/</w:t>
      </w:r>
      <w:r w:rsidR="008613E7">
        <w:rPr>
          <w:rFonts w:ascii="Arial" w:hAnsi="Arial" w:cs="Arial"/>
          <w:sz w:val="22"/>
          <w:szCs w:val="22"/>
        </w:rPr>
        <w:t>1281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8613E7">
        <w:rPr>
          <w:rFonts w:ascii="Arial" w:hAnsi="Arial" w:cs="Arial"/>
          <w:sz w:val="22"/>
          <w:szCs w:val="22"/>
        </w:rPr>
        <w:t>Pelhřimov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4D6D2E8E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8613E7">
        <w:rPr>
          <w:rFonts w:ascii="Arial" w:hAnsi="Arial" w:cs="Arial"/>
          <w:sz w:val="22"/>
          <w:szCs w:val="22"/>
        </w:rPr>
        <w:t>85</w:t>
      </w:r>
      <w:r w:rsidRPr="005258C8">
        <w:rPr>
          <w:rFonts w:ascii="Arial" w:hAnsi="Arial" w:cs="Arial"/>
          <w:sz w:val="22"/>
          <w:szCs w:val="22"/>
        </w:rPr>
        <w:t> </w:t>
      </w:r>
      <w:r w:rsidR="008613E7">
        <w:rPr>
          <w:rFonts w:ascii="Arial" w:hAnsi="Arial" w:cs="Arial"/>
          <w:sz w:val="22"/>
          <w:szCs w:val="22"/>
        </w:rPr>
        <w:t>452 20</w:t>
      </w:r>
      <w:r w:rsidRPr="005258C8">
        <w:rPr>
          <w:rFonts w:ascii="Arial" w:hAnsi="Arial" w:cs="Arial"/>
          <w:sz w:val="22"/>
          <w:szCs w:val="22"/>
        </w:rPr>
        <w:t>0</w:t>
      </w:r>
      <w:r w:rsidR="008613E7">
        <w:rPr>
          <w:rFonts w:ascii="Arial" w:hAnsi="Arial" w:cs="Arial"/>
          <w:sz w:val="22"/>
          <w:szCs w:val="22"/>
        </w:rPr>
        <w:t>,99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668C537B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C61347">
        <w:rPr>
          <w:rFonts w:ascii="Arial" w:hAnsi="Arial" w:cs="Arial"/>
          <w:sz w:val="22"/>
          <w:szCs w:val="22"/>
        </w:rPr>
        <w:t>315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2F422705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8613E7">
        <w:rPr>
          <w:rFonts w:ascii="Arial" w:hAnsi="Arial" w:cs="Arial"/>
          <w:sz w:val="22"/>
          <w:szCs w:val="22"/>
        </w:rPr>
        <w:t>6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CD3231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CD3231">
        <w:rPr>
          <w:rFonts w:ascii="Arial" w:hAnsi="Arial" w:cs="Arial"/>
          <w:sz w:val="22"/>
          <w:szCs w:val="22"/>
        </w:rPr>
        <w:t>0</w:t>
      </w:r>
      <w:r w:rsidR="008613E7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8613E7">
        <w:rPr>
          <w:rFonts w:ascii="Arial" w:hAnsi="Arial" w:cs="Arial"/>
          <w:sz w:val="22"/>
          <w:szCs w:val="22"/>
        </w:rPr>
        <w:t>5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5E465F36" w:rsidR="00B124FA" w:rsidRDefault="00F453F7" w:rsidP="00B124FA">
      <w:pPr>
        <w:jc w:val="both"/>
        <w:rPr>
          <w:rFonts w:ascii="Arial" w:hAnsi="Arial" w:cs="Arial"/>
          <w:sz w:val="22"/>
          <w:szCs w:val="22"/>
        </w:rPr>
      </w:pPr>
      <w:r w:rsidRPr="00F453F7">
        <w:rPr>
          <w:rFonts w:ascii="Arial" w:hAnsi="Arial" w:cs="Arial"/>
          <w:sz w:val="22"/>
          <w:szCs w:val="22"/>
        </w:rPr>
        <w:lastRenderedPageBreak/>
        <w:t>V zimním období (tj. od 1. listopadu do 31. března) nebudou prováděny jakékoli stavební práce, které by znemožnily provoz na pozemních komunikacích a zimní údržbu.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679CF9FB" w:rsidR="00A43FA6" w:rsidRPr="003A018A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3A018A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 w:rsidRPr="003A018A">
        <w:rPr>
          <w:rFonts w:ascii="Arial" w:hAnsi="Arial" w:cs="Arial"/>
          <w:b/>
          <w:bCs/>
          <w:sz w:val="22"/>
          <w:szCs w:val="22"/>
        </w:rPr>
        <w:t>2</w:t>
      </w:r>
      <w:r w:rsidRPr="003A018A">
        <w:rPr>
          <w:rFonts w:ascii="Arial" w:hAnsi="Arial" w:cs="Arial"/>
          <w:b/>
          <w:bCs/>
          <w:sz w:val="22"/>
          <w:szCs w:val="22"/>
        </w:rPr>
        <w:t xml:space="preserve">) </w:t>
      </w:r>
      <w:r w:rsidR="005E5437" w:rsidRPr="003A018A">
        <w:rPr>
          <w:rFonts w:ascii="Arial" w:hAnsi="Arial" w:cs="Arial"/>
          <w:b/>
          <w:bCs/>
          <w:sz w:val="22"/>
          <w:szCs w:val="22"/>
        </w:rPr>
        <w:t>II/348 Dobronín, průtah</w:t>
      </w:r>
    </w:p>
    <w:p w14:paraId="70049829" w14:textId="3F83BF6C" w:rsidR="005E5437" w:rsidRPr="005E5437" w:rsidRDefault="00044151" w:rsidP="005E5437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A018A">
        <w:rPr>
          <w:rFonts w:ascii="Arial" w:hAnsi="Arial" w:cs="Arial"/>
          <w:spacing w:val="-2"/>
          <w:sz w:val="22"/>
        </w:rPr>
        <w:t xml:space="preserve">Jedná se o </w:t>
      </w:r>
      <w:r w:rsidR="005E5437" w:rsidRPr="003A018A">
        <w:rPr>
          <w:rFonts w:ascii="Arial" w:hAnsi="Arial" w:cs="Arial"/>
          <w:spacing w:val="-2"/>
          <w:sz w:val="22"/>
        </w:rPr>
        <w:t>rekonstrukci</w:t>
      </w:r>
      <w:r w:rsidR="005E5437" w:rsidRPr="005E5437">
        <w:rPr>
          <w:rFonts w:ascii="Arial" w:hAnsi="Arial" w:cs="Arial"/>
          <w:spacing w:val="-2"/>
          <w:sz w:val="22"/>
        </w:rPr>
        <w:t xml:space="preserve"> silnice II/348 v průtahu obce Dobronín a rekonstrukc</w:t>
      </w:r>
      <w:r w:rsidR="005E5437">
        <w:rPr>
          <w:rFonts w:ascii="Arial" w:hAnsi="Arial" w:cs="Arial"/>
          <w:spacing w:val="-2"/>
          <w:sz w:val="22"/>
        </w:rPr>
        <w:t>i</w:t>
      </w:r>
      <w:r w:rsidR="005E5437" w:rsidRPr="005E5437">
        <w:rPr>
          <w:rFonts w:ascii="Arial" w:hAnsi="Arial" w:cs="Arial"/>
          <w:spacing w:val="-2"/>
          <w:sz w:val="22"/>
        </w:rPr>
        <w:t xml:space="preserve"> mostu ev. č.</w:t>
      </w:r>
      <w:r w:rsidR="005E5437">
        <w:rPr>
          <w:rFonts w:ascii="Arial" w:hAnsi="Arial" w:cs="Arial"/>
          <w:spacing w:val="-2"/>
          <w:sz w:val="22"/>
        </w:rPr>
        <w:t xml:space="preserve"> </w:t>
      </w:r>
      <w:r w:rsidR="005E5437" w:rsidRPr="005E5437">
        <w:rPr>
          <w:rFonts w:ascii="Arial" w:hAnsi="Arial" w:cs="Arial"/>
          <w:spacing w:val="-2"/>
          <w:sz w:val="22"/>
        </w:rPr>
        <w:t xml:space="preserve">348-008. </w:t>
      </w:r>
    </w:p>
    <w:p w14:paraId="0A711449" w14:textId="7FDA549D" w:rsidR="003A018A" w:rsidRPr="001B3F44" w:rsidRDefault="005E5437" w:rsidP="003A018A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E5437">
        <w:rPr>
          <w:rFonts w:ascii="Arial" w:hAnsi="Arial" w:cs="Arial"/>
          <w:spacing w:val="-2"/>
          <w:sz w:val="22"/>
        </w:rPr>
        <w:t>Rekonstrukce silnice proběhne ve stávající trase v délce cca 2 165 m</w:t>
      </w:r>
      <w:r w:rsidR="003A018A">
        <w:rPr>
          <w:rFonts w:ascii="Arial" w:hAnsi="Arial" w:cs="Arial"/>
          <w:spacing w:val="-2"/>
          <w:sz w:val="22"/>
        </w:rPr>
        <w:t>.</w:t>
      </w:r>
      <w:r w:rsidRPr="005E5437">
        <w:rPr>
          <w:rFonts w:ascii="Arial" w:hAnsi="Arial" w:cs="Arial"/>
          <w:spacing w:val="-2"/>
          <w:sz w:val="22"/>
        </w:rPr>
        <w:t xml:space="preserve"> Jedná se o výměnu asfaltového krytu s recyklací podkladních vrstev za studena na místě a o rekonstrukci krytu se zásahem do podkladních vrstev v celé šířce vozovky silnice II/348. Na konci úseku je navržena oprava živičného krytu v délce cca 195 m.</w:t>
      </w:r>
      <w:r w:rsidR="003A018A">
        <w:rPr>
          <w:rFonts w:ascii="Arial" w:hAnsi="Arial" w:cs="Arial"/>
          <w:spacing w:val="-2"/>
          <w:sz w:val="22"/>
        </w:rPr>
        <w:t xml:space="preserve"> </w:t>
      </w:r>
      <w:r w:rsidRPr="005E5437">
        <w:rPr>
          <w:rFonts w:ascii="Arial" w:hAnsi="Arial" w:cs="Arial"/>
          <w:spacing w:val="-2"/>
          <w:sz w:val="22"/>
        </w:rPr>
        <w:t xml:space="preserve">Rekonstrukce mostu ev. č. 348-008 převádějící silnici II/348 přes Mlýnský potok spočívá v jeho kompletní demolici a výstavbě mostu nového s větší světlostí mostního otvoru a normovou zatížitelností. Nový most bude šikmý o jednom poli. Založení je navrženo hlubinné na vrtaných </w:t>
      </w:r>
      <w:proofErr w:type="spellStart"/>
      <w:r w:rsidRPr="005E5437">
        <w:rPr>
          <w:rFonts w:ascii="Arial" w:hAnsi="Arial" w:cs="Arial"/>
          <w:spacing w:val="-2"/>
          <w:sz w:val="22"/>
        </w:rPr>
        <w:t>mikropilotách</w:t>
      </w:r>
      <w:proofErr w:type="spellEnd"/>
      <w:r w:rsidRPr="005E5437">
        <w:rPr>
          <w:rFonts w:ascii="Arial" w:hAnsi="Arial" w:cs="Arial"/>
          <w:spacing w:val="-2"/>
          <w:sz w:val="22"/>
        </w:rPr>
        <w:t xml:space="preserve">, nosná konstrukce je ŽB monolitický rám. Součástí jsou úpravy koryta pod mostem a svahů podél křídel. </w:t>
      </w:r>
    </w:p>
    <w:p w14:paraId="3368505D" w14:textId="07BAB94B" w:rsidR="00044151" w:rsidRPr="001B3F44" w:rsidRDefault="00044151" w:rsidP="00044151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AB61C6F" w14:textId="77777777" w:rsidR="003511A1" w:rsidRPr="003511A1" w:rsidRDefault="005728F3" w:rsidP="00EB05D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3511A1">
        <w:rPr>
          <w:rFonts w:ascii="Arial" w:hAnsi="Arial" w:cs="Arial"/>
          <w:sz w:val="22"/>
          <w:szCs w:val="22"/>
        </w:rPr>
        <w:t>Stavba bude realizována dle projektové dokumentace</w:t>
      </w:r>
      <w:r w:rsidR="003511A1" w:rsidRPr="003511A1">
        <w:rPr>
          <w:rFonts w:ascii="Arial" w:hAnsi="Arial" w:cs="Arial"/>
          <w:sz w:val="22"/>
          <w:szCs w:val="22"/>
        </w:rPr>
        <w:t>:</w:t>
      </w:r>
    </w:p>
    <w:p w14:paraId="0387F116" w14:textId="5A615054" w:rsidR="003511A1" w:rsidRPr="000654E1" w:rsidRDefault="003511A1" w:rsidP="003511A1">
      <w:pPr>
        <w:pStyle w:val="Odstavecseseznamem"/>
        <w:numPr>
          <w:ilvl w:val="0"/>
          <w:numId w:val="38"/>
        </w:numPr>
        <w:tabs>
          <w:tab w:val="left" w:pos="2835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0654E1">
        <w:rPr>
          <w:rFonts w:ascii="Arial" w:hAnsi="Arial" w:cs="Arial"/>
          <w:b/>
          <w:sz w:val="22"/>
          <w:szCs w:val="22"/>
        </w:rPr>
        <w:t>II/348 Dobronín – průtah, PD</w:t>
      </w:r>
      <w:r w:rsidRPr="000654E1">
        <w:rPr>
          <w:rFonts w:ascii="Arial" w:hAnsi="Arial" w:cs="Arial"/>
          <w:sz w:val="22"/>
          <w:szCs w:val="22"/>
        </w:rPr>
        <w:t xml:space="preserve"> zpracované ve stupni PDPS společností DOPRAPLAN s.r.o., Přemyslovců 462/6, 709 00 Ostrava – Mariánské Hory, IČO 05411572 v říjnu 2022.</w:t>
      </w:r>
    </w:p>
    <w:p w14:paraId="11389CE1" w14:textId="77777777" w:rsidR="003511A1" w:rsidRDefault="003511A1" w:rsidP="003511A1">
      <w:pPr>
        <w:tabs>
          <w:tab w:val="left" w:pos="2835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Objektová skladba: </w:t>
      </w:r>
      <w:r>
        <w:rPr>
          <w:rFonts w:ascii="Arial" w:hAnsi="Arial" w:cs="Arial"/>
          <w:sz w:val="22"/>
          <w:szCs w:val="22"/>
        </w:rPr>
        <w:tab/>
        <w:t>SO 101 Silnice II/348</w:t>
      </w:r>
    </w:p>
    <w:p w14:paraId="43E72CF1" w14:textId="030B98EB" w:rsidR="003511A1" w:rsidRDefault="003511A1" w:rsidP="003511A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 181 Dopravně inženýrská opatření</w:t>
      </w:r>
    </w:p>
    <w:p w14:paraId="6EF62D56" w14:textId="77777777" w:rsidR="003511A1" w:rsidRDefault="003511A1" w:rsidP="003511A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</w:p>
    <w:p w14:paraId="74F4C5EC" w14:textId="1D330196" w:rsidR="003511A1" w:rsidRPr="003511A1" w:rsidRDefault="003511A1" w:rsidP="003511A1">
      <w:pPr>
        <w:pStyle w:val="Odstavecseseznamem"/>
        <w:numPr>
          <w:ilvl w:val="0"/>
          <w:numId w:val="38"/>
        </w:num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3511A1">
        <w:rPr>
          <w:rFonts w:ascii="Arial" w:hAnsi="Arial" w:cs="Arial"/>
          <w:b/>
          <w:sz w:val="22"/>
          <w:szCs w:val="22"/>
        </w:rPr>
        <w:t>II/348 Dobronín – most ev. č. 348-008</w:t>
      </w:r>
      <w:r w:rsidRPr="003511A1">
        <w:rPr>
          <w:rFonts w:ascii="Arial" w:hAnsi="Arial" w:cs="Arial"/>
          <w:sz w:val="22"/>
          <w:szCs w:val="22"/>
        </w:rPr>
        <w:t xml:space="preserve"> zpracované ve stupni PDPS společností Projekční kancelář PRIS spol. s r.o., Osová 20, 625 00 Brno, IČO 46974806 v březnu 2020.</w:t>
      </w:r>
    </w:p>
    <w:p w14:paraId="6D59E737" w14:textId="3E4BA424" w:rsidR="003511A1" w:rsidRDefault="003511A1" w:rsidP="003511A1">
      <w:pPr>
        <w:tabs>
          <w:tab w:val="left" w:pos="2835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Objektová skladba: </w:t>
      </w:r>
      <w:r>
        <w:rPr>
          <w:rFonts w:ascii="Arial" w:hAnsi="Arial" w:cs="Arial"/>
          <w:sz w:val="22"/>
          <w:szCs w:val="22"/>
        </w:rPr>
        <w:tab/>
        <w:t>SO 201 Most ev. č. 3</w:t>
      </w:r>
      <w:r w:rsidR="003469A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8-008</w:t>
      </w:r>
    </w:p>
    <w:p w14:paraId="2D082C2E" w14:textId="77777777" w:rsidR="003511A1" w:rsidRDefault="003511A1" w:rsidP="003511A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 401 Sdělovací vedení</w:t>
      </w:r>
    </w:p>
    <w:p w14:paraId="2D93BCA6" w14:textId="77777777" w:rsidR="003511A1" w:rsidRDefault="003511A1" w:rsidP="003511A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SO 501 Plynovod</w:t>
      </w:r>
    </w:p>
    <w:p w14:paraId="17B90147" w14:textId="77777777" w:rsidR="003511A1" w:rsidRDefault="003511A1" w:rsidP="003511A1">
      <w:pPr>
        <w:tabs>
          <w:tab w:val="left" w:pos="2835"/>
        </w:tabs>
        <w:ind w:left="2835" w:hanging="19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SO 182 Dopravně inženýrská opatření (neobsazeno – </w:t>
      </w:r>
      <w:proofErr w:type="gramStart"/>
      <w:r>
        <w:rPr>
          <w:rFonts w:ascii="Arial" w:hAnsi="Arial" w:cs="Arial"/>
          <w:sz w:val="22"/>
          <w:szCs w:val="22"/>
        </w:rPr>
        <w:t>bude</w:t>
      </w:r>
      <w:proofErr w:type="gramEnd"/>
      <w:r>
        <w:rPr>
          <w:rFonts w:ascii="Arial" w:hAnsi="Arial" w:cs="Arial"/>
          <w:sz w:val="22"/>
          <w:szCs w:val="22"/>
        </w:rPr>
        <w:t xml:space="preserve"> řešeno v rámci dokumentace </w:t>
      </w:r>
      <w:proofErr w:type="gramStart"/>
      <w:r>
        <w:rPr>
          <w:rFonts w:ascii="Arial" w:hAnsi="Arial" w:cs="Arial"/>
          <w:sz w:val="22"/>
          <w:szCs w:val="22"/>
        </w:rPr>
        <w:t>viz</w:t>
      </w:r>
      <w:proofErr w:type="gramEnd"/>
      <w:r>
        <w:rPr>
          <w:rFonts w:ascii="Arial" w:hAnsi="Arial" w:cs="Arial"/>
          <w:sz w:val="22"/>
          <w:szCs w:val="22"/>
        </w:rPr>
        <w:t xml:space="preserve"> a), objekt SO 181 DIO)</w:t>
      </w:r>
    </w:p>
    <w:p w14:paraId="0364BED2" w14:textId="77777777" w:rsidR="003511A1" w:rsidRDefault="003511A1" w:rsidP="00EB05D2">
      <w:pPr>
        <w:pStyle w:val="Zkladntextodsazen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06153E9D" w14:textId="204B0857" w:rsidR="00B40C7E" w:rsidRPr="00807F1F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Druh stavby:</w:t>
      </w:r>
      <w:r w:rsidRPr="00807F1F">
        <w:rPr>
          <w:rFonts w:ascii="Arial" w:hAnsi="Arial" w:cs="Arial"/>
          <w:sz w:val="22"/>
          <w:szCs w:val="22"/>
        </w:rPr>
        <w:tab/>
        <w:t xml:space="preserve">rekonstrukce </w:t>
      </w:r>
      <w:r w:rsidR="00EB05D2" w:rsidRPr="00807F1F">
        <w:rPr>
          <w:rFonts w:ascii="Arial" w:hAnsi="Arial" w:cs="Arial"/>
          <w:sz w:val="22"/>
          <w:szCs w:val="22"/>
        </w:rPr>
        <w:t>silnic</w:t>
      </w:r>
      <w:r w:rsidRPr="00807F1F">
        <w:rPr>
          <w:rFonts w:ascii="Arial" w:hAnsi="Arial" w:cs="Arial"/>
          <w:sz w:val="22"/>
          <w:szCs w:val="22"/>
        </w:rPr>
        <w:t>e</w:t>
      </w:r>
      <w:r w:rsidR="00EB05D2" w:rsidRPr="00807F1F">
        <w:rPr>
          <w:rFonts w:ascii="Arial" w:hAnsi="Arial" w:cs="Arial"/>
          <w:sz w:val="22"/>
          <w:szCs w:val="22"/>
        </w:rPr>
        <w:t xml:space="preserve"> most</w:t>
      </w:r>
      <w:r w:rsidR="003511A1" w:rsidRPr="00807F1F">
        <w:rPr>
          <w:rFonts w:ascii="Arial" w:hAnsi="Arial" w:cs="Arial"/>
          <w:sz w:val="22"/>
          <w:szCs w:val="22"/>
        </w:rPr>
        <w:t>u</w:t>
      </w:r>
    </w:p>
    <w:p w14:paraId="780FC827" w14:textId="1A51B517" w:rsidR="00B40C7E" w:rsidRPr="00807F1F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Místo stavby:</w:t>
      </w:r>
      <w:r w:rsidRPr="00807F1F">
        <w:rPr>
          <w:rFonts w:ascii="Arial" w:hAnsi="Arial" w:cs="Arial"/>
          <w:sz w:val="22"/>
          <w:szCs w:val="22"/>
        </w:rPr>
        <w:tab/>
        <w:t>silnice II/</w:t>
      </w:r>
      <w:r w:rsidR="000D196D" w:rsidRPr="00807F1F">
        <w:rPr>
          <w:rFonts w:ascii="Arial" w:hAnsi="Arial" w:cs="Arial"/>
          <w:sz w:val="22"/>
          <w:szCs w:val="22"/>
        </w:rPr>
        <w:t>3</w:t>
      </w:r>
      <w:r w:rsidR="003511A1" w:rsidRPr="00807F1F">
        <w:rPr>
          <w:rFonts w:ascii="Arial" w:hAnsi="Arial" w:cs="Arial"/>
          <w:sz w:val="22"/>
          <w:szCs w:val="22"/>
        </w:rPr>
        <w:t>48</w:t>
      </w:r>
      <w:r w:rsidRPr="00807F1F">
        <w:rPr>
          <w:rFonts w:ascii="Arial" w:hAnsi="Arial" w:cs="Arial"/>
          <w:sz w:val="22"/>
          <w:szCs w:val="22"/>
        </w:rPr>
        <w:t xml:space="preserve">, okres </w:t>
      </w:r>
      <w:r w:rsidR="003511A1" w:rsidRPr="00807F1F">
        <w:rPr>
          <w:rFonts w:ascii="Arial" w:hAnsi="Arial" w:cs="Arial"/>
          <w:sz w:val="22"/>
          <w:szCs w:val="22"/>
        </w:rPr>
        <w:t>Jihlava</w:t>
      </w:r>
    </w:p>
    <w:p w14:paraId="107E6613" w14:textId="77777777" w:rsidR="00B40C7E" w:rsidRPr="00807F1F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Zhotovitel stavby:</w:t>
      </w:r>
      <w:r w:rsidRPr="00807F1F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5C1E9B93" w14:textId="2664FE55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807F1F">
        <w:rPr>
          <w:rFonts w:ascii="Arial" w:hAnsi="Arial" w:cs="Arial"/>
          <w:sz w:val="22"/>
          <w:szCs w:val="22"/>
        </w:rPr>
        <w:t>Předpokládaná hodnota investiční akce:</w:t>
      </w:r>
      <w:r w:rsidRPr="00807F1F">
        <w:rPr>
          <w:rFonts w:ascii="Arial" w:hAnsi="Arial" w:cs="Arial"/>
          <w:sz w:val="22"/>
          <w:szCs w:val="22"/>
        </w:rPr>
        <w:tab/>
      </w:r>
      <w:r w:rsidRPr="00807F1F">
        <w:rPr>
          <w:rFonts w:ascii="Arial" w:hAnsi="Arial" w:cs="Arial"/>
          <w:sz w:val="22"/>
          <w:szCs w:val="22"/>
        </w:rPr>
        <w:tab/>
        <w:t xml:space="preserve"> </w:t>
      </w:r>
      <w:r w:rsidR="003511A1" w:rsidRPr="00807F1F">
        <w:rPr>
          <w:rFonts w:ascii="Arial" w:hAnsi="Arial" w:cs="Arial"/>
          <w:sz w:val="22"/>
          <w:szCs w:val="22"/>
        </w:rPr>
        <w:t>38</w:t>
      </w:r>
      <w:r w:rsidR="00EB05D2" w:rsidRPr="00807F1F">
        <w:rPr>
          <w:rFonts w:ascii="Arial" w:hAnsi="Arial" w:cs="Arial"/>
          <w:sz w:val="22"/>
          <w:szCs w:val="22"/>
        </w:rPr>
        <w:t xml:space="preserve"> 000</w:t>
      </w:r>
      <w:r w:rsidRPr="00807F1F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4DFF6649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11A1">
        <w:rPr>
          <w:rFonts w:ascii="Arial" w:hAnsi="Arial" w:cs="Arial"/>
          <w:sz w:val="22"/>
          <w:szCs w:val="22"/>
        </w:rPr>
        <w:t>300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7928C102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C6134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/202</w:t>
      </w:r>
      <w:r w:rsidR="00EB05D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– </w:t>
      </w:r>
      <w:r w:rsidR="003511A1">
        <w:rPr>
          <w:rFonts w:ascii="Arial" w:hAnsi="Arial" w:cs="Arial"/>
          <w:sz w:val="22"/>
          <w:szCs w:val="22"/>
        </w:rPr>
        <w:t>0</w:t>
      </w:r>
      <w:r w:rsidR="00C613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3511A1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3421499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691CDD43" w14:textId="40233010" w:rsidR="00B73369" w:rsidRDefault="00B73369" w:rsidP="00B40C7E">
      <w:pPr>
        <w:jc w:val="both"/>
        <w:rPr>
          <w:rFonts w:ascii="Arial" w:hAnsi="Arial" w:cs="Arial"/>
          <w:sz w:val="22"/>
          <w:szCs w:val="22"/>
        </w:rPr>
      </w:pPr>
    </w:p>
    <w:p w14:paraId="2DDDA3CF" w14:textId="7E6B4444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9B2ED6F" w:rsidR="00A61560" w:rsidRDefault="00A61560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004B6DE8" w14:textId="035C8FB9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11025472" w14:textId="58CB352A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06C35EE8" w14:textId="238AFDF6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263D9259" w14:textId="57053224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7D617115" w14:textId="36A0EA74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564F3271" w14:textId="63290004" w:rsidR="00F11A6E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36F27E4F" w14:textId="77777777" w:rsidR="00F11A6E" w:rsidRPr="00C61347" w:rsidRDefault="00F11A6E" w:rsidP="00B40C7E">
      <w:pPr>
        <w:jc w:val="both"/>
        <w:rPr>
          <w:rFonts w:ascii="Arial" w:hAnsi="Arial" w:cs="Arial"/>
          <w:bCs/>
          <w:sz w:val="12"/>
          <w:szCs w:val="12"/>
        </w:rPr>
      </w:pPr>
    </w:p>
    <w:p w14:paraId="2AE854C8" w14:textId="3AE694D6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50C8FA68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1C2E64">
        <w:rPr>
          <w:rFonts w:ascii="Arial" w:hAnsi="Arial" w:cs="Arial"/>
          <w:sz w:val="22"/>
          <w:szCs w:val="22"/>
        </w:rPr>
        <w:t>6</w:t>
      </w:r>
      <w:r w:rsidR="00807F1F">
        <w:rPr>
          <w:rFonts w:ascii="Arial" w:hAnsi="Arial" w:cs="Arial"/>
          <w:sz w:val="22"/>
          <w:szCs w:val="22"/>
        </w:rPr>
        <w:t>15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66341C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4C3DC4AC" w:rsidR="00DD3CDA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665C6D62" w:rsidR="00C009C3" w:rsidRPr="00E86F64" w:rsidRDefault="00DF05EB" w:rsidP="00E86F64">
      <w:pPr>
        <w:pStyle w:val="Odstavecseseznamem"/>
        <w:numPr>
          <w:ilvl w:val="0"/>
          <w:numId w:val="1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86F64">
        <w:rPr>
          <w:rFonts w:ascii="Arial" w:hAnsi="Arial"/>
          <w:b/>
          <w:spacing w:val="-4"/>
          <w:sz w:val="22"/>
        </w:rPr>
        <w:t>Dokladem osvědčujícím odbornou způsobilost</w:t>
      </w:r>
      <w:r w:rsidRPr="00E86F64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E86F64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E86F64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E86F64">
        <w:rPr>
          <w:rFonts w:ascii="Arial" w:hAnsi="Arial"/>
          <w:b/>
          <w:spacing w:val="-4"/>
          <w:sz w:val="22"/>
        </w:rPr>
        <w:lastRenderedPageBreak/>
        <w:t>zdraví při práci na staveništi</w:t>
      </w:r>
      <w:r w:rsidRPr="00E86F64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E86F64">
        <w:rPr>
          <w:rFonts w:ascii="Arial" w:hAnsi="Arial"/>
          <w:sz w:val="22"/>
        </w:rPr>
        <w:t xml:space="preserve"> </w:t>
      </w:r>
      <w:r w:rsidR="00F11A6E" w:rsidRPr="00E86F64">
        <w:rPr>
          <w:rFonts w:ascii="Arial" w:hAnsi="Arial"/>
          <w:sz w:val="22"/>
        </w:rPr>
        <w:t xml:space="preserve">                 </w:t>
      </w:r>
      <w:r w:rsidRPr="00E86F64">
        <w:rPr>
          <w:rFonts w:ascii="Arial" w:hAnsi="Arial" w:cs="Arial"/>
          <w:sz w:val="22"/>
          <w:szCs w:val="22"/>
        </w:rPr>
        <w:t>č. 309/2006 Sb.</w:t>
      </w:r>
      <w:r w:rsidR="00C009C3" w:rsidRPr="00E86F64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E86F64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E86F64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237BBA6B" w:rsidR="00CD4FE8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322C47">
        <w:rPr>
          <w:rFonts w:cs="Arial"/>
          <w:b/>
          <w:spacing w:val="-6"/>
          <w:szCs w:val="22"/>
        </w:rPr>
        <w:t>2</w:t>
      </w:r>
      <w:r w:rsidR="00981290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7C83F26F" w14:textId="77777777" w:rsidR="00802869" w:rsidRPr="00802869" w:rsidRDefault="00802869" w:rsidP="00CD4FE8">
      <w:pPr>
        <w:pStyle w:val="Bntext2"/>
        <w:spacing w:before="120" w:line="288" w:lineRule="auto"/>
        <w:ind w:left="0"/>
        <w:rPr>
          <w:rFonts w:cs="Arial"/>
          <w:spacing w:val="-6"/>
          <w:sz w:val="2"/>
          <w:szCs w:val="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4123CD5B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589EC76" w14:textId="49E69FF5" w:rsidR="00A61560" w:rsidRDefault="00A61560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F67827B" w14:textId="77777777" w:rsidR="00A61560" w:rsidRPr="00A61560" w:rsidRDefault="00A61560" w:rsidP="00A61560">
      <w:pPr>
        <w:pStyle w:val="Nadpis2"/>
        <w:rPr>
          <w:rFonts w:ascii="Arial" w:hAnsi="Arial" w:cs="Arial"/>
          <w:sz w:val="22"/>
          <w:szCs w:val="22"/>
          <w:u w:val="single"/>
        </w:rPr>
      </w:pPr>
      <w:r w:rsidRPr="00A61560">
        <w:rPr>
          <w:rFonts w:ascii="Arial" w:hAnsi="Arial" w:cs="Arial"/>
          <w:sz w:val="22"/>
          <w:szCs w:val="22"/>
          <w:u w:val="single"/>
        </w:rPr>
        <w:t>Další požadavky zadavatele</w:t>
      </w:r>
    </w:p>
    <w:p w14:paraId="710592DB" w14:textId="77777777" w:rsidR="00A61560" w:rsidRDefault="00A61560" w:rsidP="00A61560"/>
    <w:p w14:paraId="7DDFC43B" w14:textId="3109ECC5" w:rsidR="00A61560" w:rsidRDefault="00A61560" w:rsidP="00A61560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</w:t>
      </w:r>
      <w:r w:rsidR="00523135">
        <w:rPr>
          <w:rFonts w:ascii="Arial" w:hAnsi="Arial" w:cs="Arial"/>
          <w:spacing w:val="-2"/>
          <w:sz w:val="22"/>
          <w:szCs w:val="22"/>
        </w:rPr>
        <w:t xml:space="preserve">příkazní </w:t>
      </w:r>
      <w:r>
        <w:rPr>
          <w:rFonts w:ascii="Arial" w:hAnsi="Arial" w:cs="Arial"/>
          <w:spacing w:val="-2"/>
          <w:sz w:val="22"/>
          <w:szCs w:val="22"/>
        </w:rPr>
        <w:t>smlouvy</w:t>
      </w:r>
      <w:r w:rsidR="00523135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BF1CBC">
        <w:rPr>
          <w:rFonts w:ascii="Arial" w:hAnsi="Arial" w:cs="Arial"/>
          <w:spacing w:val="-2"/>
          <w:sz w:val="22"/>
          <w:szCs w:val="22"/>
        </w:rPr>
        <w:t>1</w:t>
      </w:r>
      <w:r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0B8D7234" w14:textId="77777777" w:rsidR="001B3F44" w:rsidRPr="001B3F44" w:rsidRDefault="001B3F44" w:rsidP="008F33FB">
      <w:pPr>
        <w:pStyle w:val="Bntext2"/>
        <w:spacing w:before="120" w:line="288" w:lineRule="auto"/>
        <w:ind w:left="57"/>
        <w:rPr>
          <w:rFonts w:eastAsia="MS Mincho"/>
          <w:b/>
          <w:i/>
          <w:sz w:val="8"/>
          <w:szCs w:val="8"/>
          <w:u w:val="single"/>
        </w:rPr>
      </w:pPr>
    </w:p>
    <w:p w14:paraId="13C67574" w14:textId="209B941A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856FD0" w:rsidRDefault="00ED1786" w:rsidP="008F33FB">
      <w:pPr>
        <w:pStyle w:val="Bntext2"/>
        <w:spacing w:before="120" w:line="288" w:lineRule="auto"/>
        <w:ind w:left="57"/>
        <w:rPr>
          <w:rFonts w:cs="Arial"/>
          <w:sz w:val="12"/>
          <w:szCs w:val="1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856FD0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</w:t>
      </w:r>
      <w:r w:rsidRPr="00722883">
        <w:rPr>
          <w:rFonts w:cs="Arial"/>
          <w:bCs/>
          <w:szCs w:val="22"/>
        </w:rPr>
        <w:lastRenderedPageBreak/>
        <w:t>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4DE439E" w14:textId="43527114" w:rsidR="00CB1A8B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05C0DD61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3C5AEA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FE6C3EA" w:rsidR="00954F1D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52F6EC41" w14:textId="0B2F5864" w:rsidR="0066341C" w:rsidRDefault="0066341C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325E9F30" w14:textId="77777777" w:rsidR="0066341C" w:rsidRPr="00CB1A8B" w:rsidRDefault="0066341C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856FD0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lastRenderedPageBreak/>
        <w:t>Vysvětlení zadávací dokumentace</w:t>
      </w:r>
    </w:p>
    <w:p w14:paraId="4FCE3FDB" w14:textId="0573515C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EE8750D" w:rsidR="0086773C" w:rsidRPr="00296387" w:rsidRDefault="00856FD0" w:rsidP="00B8513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Lhůta </w:t>
      </w:r>
      <w:r w:rsidR="00296387" w:rsidRPr="00296387">
        <w:rPr>
          <w:rFonts w:ascii="Arial" w:hAnsi="Arial" w:cs="Arial"/>
          <w:sz w:val="22"/>
          <w:szCs w:val="22"/>
        </w:rPr>
        <w:t>a způsob podání nabídk</w:t>
      </w:r>
      <w:r w:rsidR="00176EA9">
        <w:rPr>
          <w:rFonts w:ascii="Arial" w:hAnsi="Arial" w:cs="Arial"/>
          <w:sz w:val="22"/>
          <w:szCs w:val="22"/>
        </w:rPr>
        <w:t>y</w:t>
      </w:r>
    </w:p>
    <w:p w14:paraId="795F2AC9" w14:textId="49C89DD9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bookmarkStart w:id="1" w:name="_GoBack"/>
      <w:bookmarkEnd w:id="1"/>
      <w:r w:rsidR="001D6174">
        <w:rPr>
          <w:rFonts w:ascii="Arial" w:hAnsi="Arial" w:cs="Arial"/>
          <w:sz w:val="22"/>
          <w:szCs w:val="22"/>
        </w:rPr>
        <w:t>20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1B3F44">
        <w:rPr>
          <w:rFonts w:ascii="Arial" w:hAnsi="Arial" w:cs="Arial"/>
          <w:sz w:val="22"/>
          <w:szCs w:val="22"/>
        </w:rPr>
        <w:t>4</w:t>
      </w:r>
      <w:r w:rsidRPr="00A204CC">
        <w:rPr>
          <w:rFonts w:ascii="Arial" w:hAnsi="Arial" w:cs="Arial"/>
          <w:sz w:val="22"/>
          <w:szCs w:val="22"/>
        </w:rPr>
        <w:t>. 20</w:t>
      </w:r>
      <w:r w:rsidR="00A04706">
        <w:rPr>
          <w:rFonts w:ascii="Arial" w:hAnsi="Arial" w:cs="Arial"/>
          <w:sz w:val="22"/>
          <w:szCs w:val="22"/>
        </w:rPr>
        <w:t>2</w:t>
      </w:r>
      <w:r w:rsidR="001B3F44">
        <w:rPr>
          <w:rFonts w:ascii="Arial" w:hAnsi="Arial" w:cs="Arial"/>
          <w:sz w:val="22"/>
          <w:szCs w:val="22"/>
        </w:rPr>
        <w:t>3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A04706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05DAB446" w14:textId="77777777" w:rsidR="00FB17A7" w:rsidRPr="00856FD0" w:rsidRDefault="00FB17A7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2C63EEEC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</w:t>
      </w:r>
      <w:r w:rsidR="002A6EA2">
        <w:rPr>
          <w:szCs w:val="22"/>
        </w:rPr>
        <w:t>dodavatelích</w:t>
      </w:r>
      <w:r w:rsidRPr="00F33912">
        <w:rPr>
          <w:szCs w:val="22"/>
        </w:rPr>
        <w:t xml:space="preserve">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lastRenderedPageBreak/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4FC0C" w14:textId="77777777" w:rsidR="00CA38AD" w:rsidRDefault="00CA38AD">
      <w:r>
        <w:separator/>
      </w:r>
    </w:p>
  </w:endnote>
  <w:endnote w:type="continuationSeparator" w:id="0">
    <w:p w14:paraId="38ECA677" w14:textId="77777777" w:rsidR="00CA38AD" w:rsidRDefault="00CA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5F656BFF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D6174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D6174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7B04A" w14:textId="77777777" w:rsidR="00CA38AD" w:rsidRDefault="00CA38AD">
      <w:r>
        <w:separator/>
      </w:r>
    </w:p>
  </w:footnote>
  <w:footnote w:type="continuationSeparator" w:id="0">
    <w:p w14:paraId="7EDED76D" w14:textId="77777777" w:rsidR="00CA38AD" w:rsidRDefault="00CA3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FB51024"/>
    <w:multiLevelType w:val="hybridMultilevel"/>
    <w:tmpl w:val="CE2039A8"/>
    <w:lvl w:ilvl="0" w:tplc="9F727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714E166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C193730"/>
    <w:multiLevelType w:val="hybridMultilevel"/>
    <w:tmpl w:val="CE2039A8"/>
    <w:lvl w:ilvl="0" w:tplc="9F727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35"/>
  </w:num>
  <w:num w:numId="4">
    <w:abstractNumId w:val="27"/>
  </w:num>
  <w:num w:numId="5">
    <w:abstractNumId w:val="11"/>
  </w:num>
  <w:num w:numId="6">
    <w:abstractNumId w:val="17"/>
  </w:num>
  <w:num w:numId="7">
    <w:abstractNumId w:val="36"/>
  </w:num>
  <w:num w:numId="8">
    <w:abstractNumId w:val="32"/>
  </w:num>
  <w:num w:numId="9">
    <w:abstractNumId w:val="12"/>
  </w:num>
  <w:num w:numId="10">
    <w:abstractNumId w:val="24"/>
  </w:num>
  <w:num w:numId="11">
    <w:abstractNumId w:val="29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4"/>
  </w:num>
  <w:num w:numId="30">
    <w:abstractNumId w:val="33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19"/>
  </w:num>
  <w:num w:numId="35">
    <w:abstractNumId w:val="0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1"/>
  </w:num>
  <w:num w:numId="4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151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6EA9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3F44"/>
    <w:rsid w:val="001B4FB0"/>
    <w:rsid w:val="001B7BD4"/>
    <w:rsid w:val="001B7DA4"/>
    <w:rsid w:val="001C1F47"/>
    <w:rsid w:val="001C2E64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6174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96387"/>
    <w:rsid w:val="002A0997"/>
    <w:rsid w:val="002A2A27"/>
    <w:rsid w:val="002A61F2"/>
    <w:rsid w:val="002A6205"/>
    <w:rsid w:val="002A6EA2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0FC5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526E"/>
    <w:rsid w:val="00321827"/>
    <w:rsid w:val="0032199D"/>
    <w:rsid w:val="00322C47"/>
    <w:rsid w:val="0032307E"/>
    <w:rsid w:val="00324428"/>
    <w:rsid w:val="003336ED"/>
    <w:rsid w:val="00335056"/>
    <w:rsid w:val="0033596E"/>
    <w:rsid w:val="00335F6A"/>
    <w:rsid w:val="0033725F"/>
    <w:rsid w:val="0033730F"/>
    <w:rsid w:val="00337C55"/>
    <w:rsid w:val="00341F96"/>
    <w:rsid w:val="0034233D"/>
    <w:rsid w:val="00343199"/>
    <w:rsid w:val="00343ED9"/>
    <w:rsid w:val="00344620"/>
    <w:rsid w:val="003469A8"/>
    <w:rsid w:val="003507B6"/>
    <w:rsid w:val="003509F6"/>
    <w:rsid w:val="00350BD0"/>
    <w:rsid w:val="00350C41"/>
    <w:rsid w:val="003511A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18A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C5AEA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308D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135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2F8B"/>
    <w:rsid w:val="00576CE1"/>
    <w:rsid w:val="00577B0B"/>
    <w:rsid w:val="005806C5"/>
    <w:rsid w:val="00584CC1"/>
    <w:rsid w:val="0058528C"/>
    <w:rsid w:val="00585A24"/>
    <w:rsid w:val="00585E70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E5437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341C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02869"/>
    <w:rsid w:val="00807F1F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6FD0"/>
    <w:rsid w:val="008573A6"/>
    <w:rsid w:val="00860B64"/>
    <w:rsid w:val="008613E7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302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4706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3369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0B68"/>
    <w:rsid w:val="00C0344E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4263"/>
    <w:rsid w:val="00C56558"/>
    <w:rsid w:val="00C57B78"/>
    <w:rsid w:val="00C61347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38AD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3231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6795C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1B16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86F64"/>
    <w:rsid w:val="00E9000D"/>
    <w:rsid w:val="00E92338"/>
    <w:rsid w:val="00E95D68"/>
    <w:rsid w:val="00E9692B"/>
    <w:rsid w:val="00E96FA8"/>
    <w:rsid w:val="00EA3754"/>
    <w:rsid w:val="00EA62E6"/>
    <w:rsid w:val="00EB04DB"/>
    <w:rsid w:val="00EB05D2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1A6E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7B7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53F7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77B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Arial">
    <w:name w:val="Arial"/>
    <w:basedOn w:val="Normln"/>
    <w:autoRedefine/>
    <w:rsid w:val="00F337B7"/>
    <w:pPr>
      <w:widowControl w:val="0"/>
      <w:suppressAutoHyphens/>
      <w:overflowPunct/>
      <w:autoSpaceDE/>
      <w:adjustRightInd/>
      <w:spacing w:before="57" w:after="57"/>
      <w:jc w:val="both"/>
    </w:pPr>
    <w:rPr>
      <w:rFonts w:ascii="Arial" w:eastAsia="Lucida Sans Unicode" w:hAnsi="Arial" w:cs="Arial"/>
      <w:kern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2973-C0A3-457D-81E8-5CC328E2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8</Pages>
  <Words>2658</Words>
  <Characters>16821</Characters>
  <Application>Microsoft Office Word</Application>
  <DocSecurity>0</DocSecurity>
  <Lines>140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19441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93</cp:revision>
  <cp:lastPrinted>2019-02-13T07:52:00Z</cp:lastPrinted>
  <dcterms:created xsi:type="dcterms:W3CDTF">2019-09-12T11:01:00Z</dcterms:created>
  <dcterms:modified xsi:type="dcterms:W3CDTF">2023-03-29T07:26:00Z</dcterms:modified>
</cp:coreProperties>
</file>