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F2B20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EF2B20">
        <w:rPr>
          <w:rFonts w:ascii="Arial" w:hAnsi="Arial" w:cs="Arial"/>
          <w:b/>
          <w:sz w:val="24"/>
          <w:szCs w:val="24"/>
        </w:rPr>
        <w:t xml:space="preserve">Koordinátor BOZP </w:t>
      </w:r>
      <w:r w:rsidR="00CB3554" w:rsidRPr="00CB3554">
        <w:rPr>
          <w:rFonts w:ascii="Arial" w:hAnsi="Arial" w:cs="Arial"/>
          <w:b/>
          <w:sz w:val="24"/>
          <w:szCs w:val="24"/>
        </w:rPr>
        <w:t>II/360 Trnava – Rudíkov, 1. stavba</w:t>
      </w:r>
      <w:bookmarkStart w:id="0" w:name="_GoBack"/>
      <w:bookmarkEnd w:id="0"/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6D6026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2188E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CB3554"/>
    <w:rsid w:val="00D304BA"/>
    <w:rsid w:val="00D35BE4"/>
    <w:rsid w:val="00D4411E"/>
    <w:rsid w:val="00E337BD"/>
    <w:rsid w:val="00E63F11"/>
    <w:rsid w:val="00E85837"/>
    <w:rsid w:val="00EF2B20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2023-08-16T10:58:00Z</dcterms:modified>
</cp:coreProperties>
</file>