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4E385D" w:rsidTr="0085017D">
        <w:trPr>
          <w:trHeight w:val="465"/>
        </w:trPr>
        <w:tc>
          <w:tcPr>
            <w:tcW w:w="9464" w:type="dxa"/>
            <w:shd w:val="clear" w:color="auto" w:fill="FDE9D9"/>
          </w:tcPr>
          <w:p w:rsidR="00627D75" w:rsidRPr="004E385D" w:rsidRDefault="002715B4" w:rsidP="002715B4">
            <w:pPr>
              <w:pStyle w:val="Nzev"/>
              <w:spacing w:before="120" w:after="120" w:line="240" w:lineRule="auto"/>
              <w:rPr>
                <w:rFonts w:ascii="Arial" w:hAnsi="Arial" w:cs="Arial"/>
                <w:sz w:val="20"/>
                <w:szCs w:val="20"/>
              </w:rPr>
            </w:pPr>
            <w:r w:rsidRPr="004E385D">
              <w:rPr>
                <w:rFonts w:ascii="Arial" w:hAnsi="Arial" w:cs="Arial"/>
                <w:sz w:val="20"/>
                <w:szCs w:val="20"/>
                <w:lang w:val="cs-CZ"/>
              </w:rPr>
              <w:t>Technické podmínky</w:t>
            </w:r>
          </w:p>
        </w:tc>
      </w:tr>
    </w:tbl>
    <w:p w:rsidR="004E385D" w:rsidRDefault="004E385D" w:rsidP="004E385D">
      <w:pPr>
        <w:keepNext/>
        <w:tabs>
          <w:tab w:val="left" w:pos="993"/>
        </w:tabs>
        <w:spacing w:after="120" w:line="240" w:lineRule="auto"/>
        <w:rPr>
          <w:rFonts w:ascii="Arial" w:eastAsia="Times New Roman" w:hAnsi="Arial" w:cs="Arial"/>
          <w:b/>
          <w:sz w:val="20"/>
          <w:szCs w:val="20"/>
          <w:u w:val="single"/>
          <w:lang w:eastAsia="cs-CZ"/>
        </w:rPr>
      </w:pPr>
    </w:p>
    <w:p w:rsidR="004E385D" w:rsidRPr="004E385D" w:rsidRDefault="004E385D" w:rsidP="004E385D">
      <w:pPr>
        <w:keepNext/>
        <w:tabs>
          <w:tab w:val="left" w:pos="993"/>
        </w:tabs>
        <w:spacing w:after="120" w:line="240" w:lineRule="auto"/>
        <w:rPr>
          <w:rFonts w:ascii="Arial" w:eastAsia="Times New Roman" w:hAnsi="Arial" w:cs="Arial"/>
          <w:b/>
          <w:sz w:val="20"/>
          <w:szCs w:val="20"/>
          <w:u w:val="single"/>
          <w:lang w:eastAsia="cs-CZ"/>
        </w:rPr>
      </w:pPr>
      <w:r w:rsidRPr="004E385D">
        <w:rPr>
          <w:rFonts w:ascii="Arial" w:eastAsia="Times New Roman" w:hAnsi="Arial" w:cs="Arial"/>
          <w:b/>
          <w:sz w:val="20"/>
          <w:szCs w:val="20"/>
          <w:u w:val="single"/>
          <w:lang w:eastAsia="cs-CZ"/>
        </w:rPr>
        <w:t xml:space="preserve">III/03826 </w:t>
      </w:r>
      <w:proofErr w:type="gramStart"/>
      <w:r w:rsidRPr="004E385D">
        <w:rPr>
          <w:rFonts w:ascii="Arial" w:eastAsia="Times New Roman" w:hAnsi="Arial" w:cs="Arial"/>
          <w:b/>
          <w:sz w:val="20"/>
          <w:szCs w:val="20"/>
          <w:u w:val="single"/>
          <w:lang w:eastAsia="cs-CZ"/>
        </w:rPr>
        <w:t>Rančířov  – most</w:t>
      </w:r>
      <w:proofErr w:type="gramEnd"/>
      <w:r w:rsidRPr="004E385D">
        <w:rPr>
          <w:rFonts w:ascii="Arial" w:eastAsia="Times New Roman" w:hAnsi="Arial" w:cs="Arial"/>
          <w:b/>
          <w:sz w:val="20"/>
          <w:szCs w:val="20"/>
          <w:u w:val="single"/>
          <w:lang w:eastAsia="cs-CZ"/>
        </w:rPr>
        <w:t xml:space="preserve"> ev. č. 03826-1 </w:t>
      </w:r>
    </w:p>
    <w:p w:rsidR="004E385D" w:rsidRPr="004E385D" w:rsidRDefault="004E385D" w:rsidP="004E385D">
      <w:pPr>
        <w:overflowPunct w:val="0"/>
        <w:autoSpaceDE w:val="0"/>
        <w:autoSpaceDN w:val="0"/>
        <w:adjustRightInd w:val="0"/>
        <w:spacing w:after="120" w:line="240" w:lineRule="auto"/>
        <w:jc w:val="both"/>
        <w:textAlignment w:val="baseline"/>
        <w:rPr>
          <w:rFonts w:ascii="Arial" w:eastAsia="Times New Roman" w:hAnsi="Arial" w:cs="Arial"/>
          <w:bCs/>
          <w:sz w:val="20"/>
          <w:szCs w:val="20"/>
          <w:lang w:eastAsia="cs-CZ"/>
        </w:rPr>
      </w:pPr>
      <w:r w:rsidRPr="004E385D">
        <w:rPr>
          <w:rFonts w:ascii="Arial" w:eastAsia="Times New Roman" w:hAnsi="Arial" w:cs="Arial"/>
          <w:bCs/>
          <w:sz w:val="20"/>
          <w:szCs w:val="20"/>
          <w:lang w:eastAsia="cs-CZ"/>
        </w:rPr>
        <w:t>Předmětem plnění je:</w:t>
      </w:r>
    </w:p>
    <w:p w:rsidR="004E385D" w:rsidRPr="004E385D" w:rsidRDefault="004E385D" w:rsidP="004E385D">
      <w:pPr>
        <w:pStyle w:val="Odstavecseseznamem"/>
        <w:numPr>
          <w:ilvl w:val="0"/>
          <w:numId w:val="22"/>
        </w:numPr>
        <w:overflowPunct w:val="0"/>
        <w:autoSpaceDE w:val="0"/>
        <w:autoSpaceDN w:val="0"/>
        <w:adjustRightInd w:val="0"/>
        <w:spacing w:after="120" w:line="240" w:lineRule="auto"/>
        <w:ind w:left="426" w:hanging="426"/>
        <w:jc w:val="both"/>
        <w:textAlignment w:val="baseline"/>
        <w:rPr>
          <w:rFonts w:ascii="Arial" w:hAnsi="Arial" w:cs="Arial"/>
          <w:bCs/>
          <w:sz w:val="20"/>
          <w:szCs w:val="20"/>
        </w:rPr>
      </w:pPr>
      <w:r w:rsidRPr="004E385D">
        <w:rPr>
          <w:rFonts w:ascii="Arial" w:hAnsi="Arial" w:cs="Arial"/>
          <w:bCs/>
          <w:sz w:val="20"/>
          <w:szCs w:val="20"/>
        </w:rPr>
        <w:t>vypracování projektové dokumentace pro stavební povolení (DSP)</w:t>
      </w:r>
    </w:p>
    <w:p w:rsidR="004E385D" w:rsidRPr="004E385D" w:rsidRDefault="004E385D" w:rsidP="004E385D">
      <w:pPr>
        <w:pStyle w:val="Odstavecseseznamem"/>
        <w:numPr>
          <w:ilvl w:val="0"/>
          <w:numId w:val="22"/>
        </w:numPr>
        <w:overflowPunct w:val="0"/>
        <w:autoSpaceDE w:val="0"/>
        <w:autoSpaceDN w:val="0"/>
        <w:adjustRightInd w:val="0"/>
        <w:spacing w:after="120" w:line="240" w:lineRule="auto"/>
        <w:ind w:left="426" w:hanging="426"/>
        <w:jc w:val="both"/>
        <w:textAlignment w:val="baseline"/>
        <w:rPr>
          <w:rFonts w:ascii="Arial" w:hAnsi="Arial" w:cs="Arial"/>
          <w:bCs/>
          <w:sz w:val="20"/>
          <w:szCs w:val="20"/>
        </w:rPr>
      </w:pPr>
      <w:r w:rsidRPr="004E385D">
        <w:rPr>
          <w:rFonts w:ascii="Arial" w:hAnsi="Arial" w:cs="Arial"/>
          <w:bCs/>
          <w:sz w:val="20"/>
          <w:szCs w:val="20"/>
        </w:rPr>
        <w:t>zajištění pravomocného stavebního povolení (SP)</w:t>
      </w:r>
    </w:p>
    <w:p w:rsidR="004E385D" w:rsidRPr="004E385D" w:rsidRDefault="004E385D" w:rsidP="004E385D">
      <w:pPr>
        <w:pStyle w:val="Odstavecseseznamem"/>
        <w:numPr>
          <w:ilvl w:val="0"/>
          <w:numId w:val="22"/>
        </w:numPr>
        <w:overflowPunct w:val="0"/>
        <w:autoSpaceDE w:val="0"/>
        <w:autoSpaceDN w:val="0"/>
        <w:adjustRightInd w:val="0"/>
        <w:spacing w:after="120" w:line="240" w:lineRule="auto"/>
        <w:ind w:left="426" w:hanging="426"/>
        <w:jc w:val="both"/>
        <w:textAlignment w:val="baseline"/>
        <w:rPr>
          <w:rFonts w:ascii="Arial" w:hAnsi="Arial" w:cs="Arial"/>
          <w:bCs/>
          <w:sz w:val="20"/>
          <w:szCs w:val="20"/>
        </w:rPr>
      </w:pPr>
      <w:r w:rsidRPr="004E385D">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SP k příslušnému stavebnímu úřadu </w:t>
      </w:r>
    </w:p>
    <w:p w:rsidR="004E385D" w:rsidRPr="004E385D" w:rsidRDefault="004E385D" w:rsidP="004E385D">
      <w:pPr>
        <w:pStyle w:val="Odstavecseseznamem"/>
        <w:numPr>
          <w:ilvl w:val="0"/>
          <w:numId w:val="22"/>
        </w:numPr>
        <w:overflowPunct w:val="0"/>
        <w:autoSpaceDE w:val="0"/>
        <w:autoSpaceDN w:val="0"/>
        <w:adjustRightInd w:val="0"/>
        <w:spacing w:after="120" w:line="240" w:lineRule="auto"/>
        <w:ind w:left="426" w:hanging="426"/>
        <w:jc w:val="both"/>
        <w:textAlignment w:val="baseline"/>
        <w:rPr>
          <w:rFonts w:ascii="Arial" w:hAnsi="Arial" w:cs="Arial"/>
          <w:bCs/>
          <w:sz w:val="20"/>
          <w:szCs w:val="20"/>
        </w:rPr>
      </w:pPr>
      <w:r w:rsidRPr="004E385D">
        <w:rPr>
          <w:rFonts w:ascii="Arial" w:hAnsi="Arial" w:cs="Arial"/>
          <w:bCs/>
          <w:sz w:val="20"/>
          <w:szCs w:val="20"/>
        </w:rPr>
        <w:t xml:space="preserve">vypracování projektové dokumentace pro provádění stavby (PDPS) včetně oceněného a neoceněného soupisu prací </w:t>
      </w:r>
    </w:p>
    <w:p w:rsidR="004E385D" w:rsidRPr="004E385D" w:rsidRDefault="004E385D" w:rsidP="004E385D">
      <w:pPr>
        <w:pStyle w:val="Odstavecseseznamem"/>
        <w:numPr>
          <w:ilvl w:val="0"/>
          <w:numId w:val="22"/>
        </w:numPr>
        <w:overflowPunct w:val="0"/>
        <w:autoSpaceDE w:val="0"/>
        <w:autoSpaceDN w:val="0"/>
        <w:adjustRightInd w:val="0"/>
        <w:spacing w:after="120" w:line="240" w:lineRule="auto"/>
        <w:ind w:left="426" w:hanging="426"/>
        <w:jc w:val="both"/>
        <w:textAlignment w:val="baseline"/>
        <w:rPr>
          <w:rFonts w:ascii="Arial" w:hAnsi="Arial" w:cs="Arial"/>
          <w:bCs/>
          <w:sz w:val="20"/>
          <w:szCs w:val="20"/>
        </w:rPr>
      </w:pPr>
      <w:r w:rsidRPr="004E385D">
        <w:rPr>
          <w:rFonts w:ascii="Arial" w:hAnsi="Arial" w:cs="Arial"/>
          <w:bCs/>
          <w:sz w:val="20"/>
          <w:szCs w:val="20"/>
        </w:rPr>
        <w:t>výkon autorského dozoru při realizaci stavby</w:t>
      </w:r>
    </w:p>
    <w:p w:rsidR="004E385D" w:rsidRPr="004E385D" w:rsidRDefault="004E385D" w:rsidP="004E385D">
      <w:pPr>
        <w:spacing w:after="120" w:line="240" w:lineRule="auto"/>
        <w:contextualSpacing/>
        <w:jc w:val="both"/>
        <w:rPr>
          <w:rFonts w:ascii="Arial" w:hAnsi="Arial" w:cs="Arial"/>
          <w:sz w:val="20"/>
          <w:szCs w:val="20"/>
        </w:rPr>
      </w:pPr>
    </w:p>
    <w:p w:rsidR="004E385D" w:rsidRPr="004E385D" w:rsidRDefault="004E385D" w:rsidP="004E385D">
      <w:pPr>
        <w:spacing w:after="120" w:line="240" w:lineRule="auto"/>
        <w:jc w:val="both"/>
        <w:rPr>
          <w:rFonts w:ascii="Arial" w:hAnsi="Arial" w:cs="Arial"/>
          <w:sz w:val="20"/>
          <w:szCs w:val="20"/>
        </w:rPr>
      </w:pPr>
      <w:r w:rsidRPr="004E385D">
        <w:rPr>
          <w:rFonts w:ascii="Arial" w:hAnsi="Arial" w:cs="Arial"/>
          <w:sz w:val="20"/>
          <w:szCs w:val="20"/>
        </w:rPr>
        <w:t xml:space="preserve">Předmětem projekčních prací je oprava stávajícího mostu v obci Rančířov, v okrese Jihlava, Kraji Vysočina. Most z roku 1990 se nachází na silnici III/03826 v km 0,613 provozního staničení, a převádí tuto silnici třetí třídy přes potok Jihlávku. </w:t>
      </w:r>
    </w:p>
    <w:p w:rsidR="004E385D" w:rsidRPr="004E385D" w:rsidRDefault="004E385D" w:rsidP="004E385D">
      <w:pPr>
        <w:spacing w:after="120" w:line="240" w:lineRule="auto"/>
        <w:contextualSpacing/>
        <w:jc w:val="both"/>
        <w:rPr>
          <w:rFonts w:ascii="Arial" w:hAnsi="Arial" w:cs="Arial"/>
          <w:sz w:val="20"/>
          <w:szCs w:val="20"/>
        </w:rPr>
      </w:pPr>
    </w:p>
    <w:p w:rsidR="004E385D" w:rsidRPr="004E385D" w:rsidRDefault="004E385D" w:rsidP="004E385D">
      <w:pPr>
        <w:spacing w:after="120" w:line="240" w:lineRule="auto"/>
        <w:contextualSpacing/>
        <w:jc w:val="both"/>
        <w:rPr>
          <w:rFonts w:ascii="Arial" w:hAnsi="Arial" w:cs="Arial"/>
          <w:sz w:val="20"/>
          <w:szCs w:val="20"/>
        </w:rPr>
      </w:pPr>
      <w:r w:rsidRPr="004E385D">
        <w:rPr>
          <w:rFonts w:ascii="Arial" w:hAnsi="Arial" w:cs="Arial"/>
          <w:sz w:val="20"/>
          <w:szCs w:val="20"/>
          <w:u w:val="single"/>
        </w:rPr>
        <w:t>Konstrukce mostu:</w:t>
      </w:r>
      <w:r w:rsidRPr="004E385D">
        <w:rPr>
          <w:rFonts w:ascii="Arial" w:hAnsi="Arial" w:cs="Arial"/>
          <w:sz w:val="20"/>
          <w:szCs w:val="20"/>
        </w:rPr>
        <w:t xml:space="preserve"> Stávající most je železobetonový o jednom poli a světlosti 8,07 m. Nosnou konstrukci tvoří 18 ks prefabrikovaných nosníků ŽMP-62, které jsou na opěrách uložené přímo na vrstvu lepenky. Mostní opěry jsou masivní monolitické s rovnoběžnými křídly. Vozovka je šířky 7,5 m mezi obrubami s živičným krytem a střechovitým příčným i podélným sklonem. Po obou stranách mostu jsou prefabrikované římsy s dobetonávkou na celkovou šířku 0,9 m. Na římsách je osazeno ocelové trubkové mostní zábradlí se svislou výplní. Odvodnění mostu je řešeno sklonem vozovky do nezpevněných krajnic. Koryto vodoteče je přirozené, podél opěr jsou ochranné patní prahy z kamenné dlažby.</w:t>
      </w:r>
    </w:p>
    <w:p w:rsidR="004E385D" w:rsidRPr="004E385D" w:rsidRDefault="004E385D" w:rsidP="004E385D">
      <w:pPr>
        <w:spacing w:after="120" w:line="240" w:lineRule="auto"/>
        <w:contextualSpacing/>
        <w:jc w:val="both"/>
        <w:rPr>
          <w:rFonts w:ascii="Arial" w:hAnsi="Arial" w:cs="Arial"/>
          <w:sz w:val="20"/>
          <w:szCs w:val="20"/>
        </w:rPr>
      </w:pPr>
    </w:p>
    <w:p w:rsidR="004E385D" w:rsidRPr="004E385D" w:rsidRDefault="004E385D" w:rsidP="004E385D">
      <w:pPr>
        <w:spacing w:after="120" w:line="240" w:lineRule="auto"/>
        <w:contextualSpacing/>
        <w:jc w:val="both"/>
        <w:rPr>
          <w:rFonts w:ascii="Arial" w:hAnsi="Arial" w:cs="Arial"/>
          <w:sz w:val="20"/>
          <w:szCs w:val="20"/>
        </w:rPr>
      </w:pPr>
      <w:r w:rsidRPr="004E385D">
        <w:rPr>
          <w:rFonts w:ascii="Arial" w:hAnsi="Arial" w:cs="Arial"/>
          <w:sz w:val="20"/>
          <w:szCs w:val="20"/>
          <w:u w:val="single"/>
        </w:rPr>
        <w:t>Stavební stav:</w:t>
      </w:r>
      <w:r w:rsidRPr="004E385D">
        <w:rPr>
          <w:rFonts w:ascii="Arial" w:hAnsi="Arial" w:cs="Arial"/>
          <w:sz w:val="20"/>
          <w:szCs w:val="20"/>
        </w:rPr>
        <w:t xml:space="preserve"> </w:t>
      </w:r>
      <w:r w:rsidRPr="004E385D">
        <w:rPr>
          <w:rFonts w:ascii="Arial" w:hAnsi="Arial" w:cs="Arial"/>
          <w:sz w:val="20"/>
          <w:szCs w:val="20"/>
        </w:rPr>
        <w:tab/>
        <w:t>nosná konstrukce:</w:t>
      </w:r>
      <w:r w:rsidRPr="004E385D">
        <w:rPr>
          <w:rFonts w:ascii="Arial" w:hAnsi="Arial" w:cs="Arial"/>
          <w:sz w:val="20"/>
          <w:szCs w:val="20"/>
        </w:rPr>
        <w:tab/>
        <w:t>IV – uspokojivý</w:t>
      </w:r>
    </w:p>
    <w:p w:rsidR="004E385D" w:rsidRPr="004E385D" w:rsidRDefault="004E385D" w:rsidP="004E385D">
      <w:pPr>
        <w:spacing w:after="120" w:line="240" w:lineRule="auto"/>
        <w:ind w:left="708" w:firstLine="1419"/>
        <w:contextualSpacing/>
        <w:jc w:val="both"/>
        <w:rPr>
          <w:rFonts w:ascii="Arial" w:hAnsi="Arial" w:cs="Arial"/>
          <w:sz w:val="20"/>
          <w:szCs w:val="20"/>
        </w:rPr>
      </w:pPr>
      <w:r w:rsidRPr="004E385D">
        <w:rPr>
          <w:rFonts w:ascii="Arial" w:hAnsi="Arial" w:cs="Arial"/>
          <w:sz w:val="20"/>
          <w:szCs w:val="20"/>
        </w:rPr>
        <w:t xml:space="preserve">spodní stavba: </w:t>
      </w:r>
      <w:r w:rsidRPr="004E385D">
        <w:rPr>
          <w:rFonts w:ascii="Arial" w:hAnsi="Arial" w:cs="Arial"/>
          <w:sz w:val="20"/>
          <w:szCs w:val="20"/>
        </w:rPr>
        <w:tab/>
        <w:t>III – dobrý</w:t>
      </w:r>
    </w:p>
    <w:p w:rsidR="004E385D" w:rsidRPr="004E385D" w:rsidRDefault="004E385D" w:rsidP="004E385D">
      <w:pPr>
        <w:spacing w:after="120" w:line="240" w:lineRule="auto"/>
        <w:ind w:left="708" w:firstLine="1419"/>
        <w:contextualSpacing/>
        <w:jc w:val="both"/>
        <w:rPr>
          <w:rFonts w:ascii="Arial" w:hAnsi="Arial" w:cs="Arial"/>
          <w:sz w:val="20"/>
          <w:szCs w:val="20"/>
        </w:rPr>
      </w:pPr>
      <w:r w:rsidRPr="004E385D">
        <w:rPr>
          <w:rFonts w:ascii="Arial" w:hAnsi="Arial" w:cs="Arial"/>
          <w:sz w:val="20"/>
          <w:szCs w:val="20"/>
        </w:rPr>
        <w:t xml:space="preserve">použitelnost: </w:t>
      </w:r>
      <w:r w:rsidRPr="004E385D">
        <w:rPr>
          <w:rFonts w:ascii="Arial" w:hAnsi="Arial" w:cs="Arial"/>
          <w:sz w:val="20"/>
          <w:szCs w:val="20"/>
        </w:rPr>
        <w:tab/>
        <w:t>II – podmíněně použitelné</w:t>
      </w:r>
    </w:p>
    <w:p w:rsidR="004E385D" w:rsidRPr="004E385D" w:rsidRDefault="004E385D" w:rsidP="004E385D">
      <w:pPr>
        <w:spacing w:after="120" w:line="240" w:lineRule="auto"/>
        <w:ind w:left="1416"/>
        <w:contextualSpacing/>
        <w:jc w:val="both"/>
        <w:rPr>
          <w:rFonts w:ascii="Arial" w:hAnsi="Arial" w:cs="Arial"/>
          <w:sz w:val="20"/>
          <w:szCs w:val="20"/>
        </w:rPr>
      </w:pPr>
    </w:p>
    <w:p w:rsidR="004E385D" w:rsidRPr="004E385D" w:rsidRDefault="004E385D" w:rsidP="004E385D">
      <w:pPr>
        <w:spacing w:after="120" w:line="240" w:lineRule="auto"/>
        <w:contextualSpacing/>
        <w:jc w:val="both"/>
        <w:rPr>
          <w:rFonts w:ascii="Arial" w:hAnsi="Arial" w:cs="Arial"/>
          <w:sz w:val="20"/>
          <w:szCs w:val="20"/>
        </w:rPr>
      </w:pPr>
      <w:r w:rsidRPr="004E385D">
        <w:rPr>
          <w:rFonts w:ascii="Arial" w:hAnsi="Arial" w:cs="Arial"/>
          <w:sz w:val="20"/>
          <w:szCs w:val="20"/>
          <w:u w:val="single"/>
        </w:rPr>
        <w:t>Stav mostu a rozsah rekonstrukce:</w:t>
      </w:r>
      <w:r w:rsidRPr="004E385D">
        <w:rPr>
          <w:rFonts w:ascii="Arial" w:hAnsi="Arial" w:cs="Arial"/>
          <w:sz w:val="20"/>
          <w:szCs w:val="20"/>
        </w:rPr>
        <w:t xml:space="preserve"> V současnosti je na mostě dopravním značením omezená zatížitelnost na 23 tun (83 pro jediné vozidlo). Nosná konstrukce vykazuje na podhledu obnaženou a korodující výztuž jednotlivých nosníků z důvodu nízkého krytí výztuže betonem a jeho </w:t>
      </w:r>
      <w:proofErr w:type="spellStart"/>
      <w:r w:rsidRPr="004E385D">
        <w:rPr>
          <w:rFonts w:ascii="Arial" w:hAnsi="Arial" w:cs="Arial"/>
          <w:sz w:val="20"/>
          <w:szCs w:val="20"/>
        </w:rPr>
        <w:t>karbonatací</w:t>
      </w:r>
      <w:proofErr w:type="spellEnd"/>
      <w:r w:rsidRPr="004E385D">
        <w:rPr>
          <w:rFonts w:ascii="Arial" w:hAnsi="Arial" w:cs="Arial"/>
          <w:sz w:val="20"/>
          <w:szCs w:val="20"/>
        </w:rPr>
        <w:t>. Dále dochází vlivem nefunkční izolace k průsakům vlhkosti spárami mezi nosníky a zpod říms na boky krajních nosníků. Beton spodní stavby povrchově zvětrává. V úrovni hladiny vody dochází k rozpadu a vymílání ochranných patních prahů opěr. U zábradlí se odlupuje nátěr a dochází ke korozi materiálu. Vozovka je ve velmi špatném stavu s četnými poruchami a vysprávkami. Odvodnění vozovky na mostě je nedostatečné a působením dešťových vod tak dochází k erozi svahů krajnic a zemního tělesa podél křídel.</w:t>
      </w:r>
    </w:p>
    <w:p w:rsidR="004E385D" w:rsidRPr="004E385D" w:rsidRDefault="004E385D" w:rsidP="004E385D">
      <w:pPr>
        <w:spacing w:after="120" w:line="240" w:lineRule="auto"/>
        <w:contextualSpacing/>
        <w:jc w:val="both"/>
        <w:rPr>
          <w:rFonts w:ascii="Arial" w:hAnsi="Arial" w:cs="Arial"/>
          <w:sz w:val="20"/>
          <w:szCs w:val="20"/>
        </w:rPr>
      </w:pPr>
    </w:p>
    <w:p w:rsidR="004E385D" w:rsidRPr="004E385D" w:rsidRDefault="004E385D" w:rsidP="004E385D">
      <w:pPr>
        <w:spacing w:after="120" w:line="240" w:lineRule="auto"/>
        <w:contextualSpacing/>
        <w:jc w:val="both"/>
        <w:rPr>
          <w:rFonts w:ascii="Arial" w:hAnsi="Arial" w:cs="Arial"/>
          <w:sz w:val="20"/>
          <w:szCs w:val="20"/>
        </w:rPr>
      </w:pPr>
      <w:r w:rsidRPr="004E385D">
        <w:rPr>
          <w:rFonts w:ascii="Arial" w:hAnsi="Arial" w:cs="Arial"/>
          <w:sz w:val="20"/>
          <w:szCs w:val="20"/>
        </w:rPr>
        <w:t>Zadavatel předpokládá opravu mostního svršku s výměnou hydroizolace, betonáží nových říms a pokládkou nových živičných vrstev. Spodní stavba a nosná konstrukce budou sanovány. Doplněno nebo opraveno bude kamenné odláždění včetně realizace skluzů pro lepší odvod dešťových vod. Vyměněno bude ocelové zábradlí.</w:t>
      </w:r>
    </w:p>
    <w:p w:rsidR="004E385D" w:rsidRPr="004E385D" w:rsidRDefault="004E385D" w:rsidP="004E385D">
      <w:pPr>
        <w:spacing w:after="120" w:line="240" w:lineRule="auto"/>
        <w:contextualSpacing/>
        <w:jc w:val="both"/>
        <w:rPr>
          <w:rFonts w:ascii="Arial" w:hAnsi="Arial" w:cs="Arial"/>
          <w:sz w:val="20"/>
          <w:szCs w:val="20"/>
        </w:rPr>
      </w:pPr>
    </w:p>
    <w:p w:rsidR="004E385D" w:rsidRPr="004E385D" w:rsidRDefault="004E385D" w:rsidP="004E385D">
      <w:pPr>
        <w:spacing w:after="120" w:line="240" w:lineRule="auto"/>
        <w:contextualSpacing/>
        <w:jc w:val="both"/>
        <w:rPr>
          <w:rFonts w:ascii="Arial" w:hAnsi="Arial" w:cs="Arial"/>
          <w:color w:val="FF0000"/>
          <w:sz w:val="20"/>
          <w:szCs w:val="20"/>
        </w:rPr>
      </w:pPr>
      <w:r w:rsidRPr="004E385D">
        <w:rPr>
          <w:rFonts w:ascii="Arial" w:hAnsi="Arial" w:cs="Arial"/>
          <w:sz w:val="20"/>
          <w:szCs w:val="20"/>
        </w:rPr>
        <w:t>Cílem opravy je zlepšení stavebního stavu mostu na stupeň I nebo II a použitelnosti na stupeň I, vč. odstranění omezení zatížitelnosti. Po opravě se předpokládá předání mostu vč. silnice III/03826 do vlastnictví a správy obce Rančířov a s tím související převod do kategorie místní komunikace.</w:t>
      </w:r>
    </w:p>
    <w:p w:rsidR="004E385D" w:rsidRPr="004E385D" w:rsidRDefault="004E385D" w:rsidP="004E385D">
      <w:pPr>
        <w:spacing w:after="120" w:line="240" w:lineRule="auto"/>
        <w:contextualSpacing/>
        <w:jc w:val="both"/>
        <w:rPr>
          <w:rFonts w:ascii="Arial" w:hAnsi="Arial" w:cs="Arial"/>
          <w:sz w:val="20"/>
          <w:szCs w:val="20"/>
        </w:rPr>
      </w:pPr>
    </w:p>
    <w:p w:rsidR="004E385D" w:rsidRPr="004E385D" w:rsidRDefault="004E385D" w:rsidP="004E385D">
      <w:pPr>
        <w:spacing w:after="120" w:line="240" w:lineRule="auto"/>
        <w:contextualSpacing/>
        <w:jc w:val="both"/>
        <w:rPr>
          <w:rFonts w:ascii="Arial" w:hAnsi="Arial" w:cs="Arial"/>
          <w:sz w:val="20"/>
          <w:szCs w:val="20"/>
        </w:rPr>
      </w:pPr>
      <w:r w:rsidRPr="004E385D">
        <w:rPr>
          <w:rFonts w:ascii="Arial" w:hAnsi="Arial" w:cs="Arial"/>
          <w:sz w:val="20"/>
          <w:szCs w:val="20"/>
        </w:rPr>
        <w:t>Zadavatel předpokládá, že stavební realizace bude probíhat za úplné uzavírky silničního provozu.  Předpokládaná doba realizace stavebních prací – rok 2024/2025.</w:t>
      </w:r>
    </w:p>
    <w:p w:rsidR="004E385D" w:rsidRPr="004E385D" w:rsidRDefault="004E385D" w:rsidP="004E385D">
      <w:pPr>
        <w:spacing w:after="120" w:line="240" w:lineRule="auto"/>
        <w:contextualSpacing/>
        <w:jc w:val="both"/>
        <w:rPr>
          <w:rFonts w:ascii="Arial" w:hAnsi="Arial" w:cs="Arial"/>
          <w:sz w:val="20"/>
          <w:szCs w:val="20"/>
        </w:rPr>
      </w:pPr>
      <w:r w:rsidRPr="004E385D">
        <w:rPr>
          <w:rFonts w:ascii="Arial" w:hAnsi="Arial" w:cs="Arial"/>
          <w:sz w:val="20"/>
          <w:szCs w:val="20"/>
        </w:rPr>
        <w:t>Projektové dokumentace v jednotlivých stupních budou vypracovány v rozsahu daném platnými předpisy v době zpracování a předání dokončeného předmětu plnění.</w:t>
      </w:r>
    </w:p>
    <w:p w:rsidR="004E385D" w:rsidRDefault="004E385D" w:rsidP="004E385D">
      <w:pPr>
        <w:spacing w:after="120" w:line="240" w:lineRule="auto"/>
        <w:contextualSpacing/>
        <w:jc w:val="both"/>
        <w:rPr>
          <w:rFonts w:ascii="Arial" w:hAnsi="Arial" w:cs="Arial"/>
          <w:sz w:val="20"/>
          <w:szCs w:val="20"/>
        </w:rPr>
      </w:pPr>
    </w:p>
    <w:p w:rsidR="00156C16" w:rsidRDefault="00156C16" w:rsidP="004E385D">
      <w:pPr>
        <w:spacing w:after="120" w:line="240" w:lineRule="auto"/>
        <w:contextualSpacing/>
        <w:jc w:val="both"/>
        <w:rPr>
          <w:rFonts w:ascii="Arial" w:hAnsi="Arial" w:cs="Arial"/>
          <w:sz w:val="20"/>
          <w:szCs w:val="20"/>
        </w:rPr>
      </w:pPr>
    </w:p>
    <w:p w:rsidR="00156C16" w:rsidRDefault="00156C16" w:rsidP="004E385D">
      <w:pPr>
        <w:spacing w:after="120" w:line="240" w:lineRule="auto"/>
        <w:contextualSpacing/>
        <w:jc w:val="both"/>
        <w:rPr>
          <w:rFonts w:ascii="Arial" w:hAnsi="Arial" w:cs="Arial"/>
          <w:sz w:val="20"/>
          <w:szCs w:val="20"/>
        </w:rPr>
      </w:pPr>
    </w:p>
    <w:p w:rsidR="00156C16" w:rsidRPr="004E385D" w:rsidRDefault="00156C16" w:rsidP="004E385D">
      <w:pPr>
        <w:spacing w:after="120" w:line="240" w:lineRule="auto"/>
        <w:contextualSpacing/>
        <w:jc w:val="both"/>
        <w:rPr>
          <w:rFonts w:ascii="Arial" w:hAnsi="Arial" w:cs="Arial"/>
          <w:sz w:val="20"/>
          <w:szCs w:val="20"/>
        </w:rPr>
      </w:pPr>
    </w:p>
    <w:p w:rsidR="004E385D" w:rsidRPr="004E385D" w:rsidRDefault="004E385D" w:rsidP="004E385D">
      <w:pPr>
        <w:spacing w:after="120" w:line="240" w:lineRule="auto"/>
        <w:jc w:val="both"/>
        <w:rPr>
          <w:rFonts w:ascii="Arial" w:hAnsi="Arial" w:cs="Arial"/>
          <w:b/>
          <w:sz w:val="20"/>
          <w:szCs w:val="20"/>
          <w:u w:val="single"/>
        </w:rPr>
      </w:pPr>
      <w:r w:rsidRPr="004E385D">
        <w:rPr>
          <w:rFonts w:ascii="Arial" w:hAnsi="Arial" w:cs="Arial"/>
          <w:b/>
          <w:sz w:val="20"/>
          <w:szCs w:val="20"/>
          <w:u w:val="single"/>
        </w:rPr>
        <w:lastRenderedPageBreak/>
        <w:t>Technické podmínky</w:t>
      </w:r>
    </w:p>
    <w:p w:rsidR="004E385D" w:rsidRPr="004E385D" w:rsidRDefault="004E385D" w:rsidP="004E385D">
      <w:pPr>
        <w:spacing w:after="120" w:line="240" w:lineRule="auto"/>
        <w:contextualSpacing/>
        <w:jc w:val="both"/>
        <w:rPr>
          <w:rFonts w:ascii="Arial" w:eastAsia="Times New Roman" w:hAnsi="Arial" w:cs="Arial"/>
          <w:sz w:val="20"/>
          <w:szCs w:val="20"/>
          <w:lang w:eastAsia="cs-CZ"/>
        </w:rPr>
      </w:pPr>
      <w:r w:rsidRPr="004E385D">
        <w:rPr>
          <w:rFonts w:ascii="Arial" w:eastAsia="Times New Roman" w:hAnsi="Arial" w:cs="Arial"/>
          <w:sz w:val="20"/>
          <w:szCs w:val="20"/>
          <w:lang w:eastAsia="cs-CZ"/>
        </w:rPr>
        <w:t>Rozsah a obsah dokumentace je stanoven Směrnicí pro dokumentaci staveb pozemních komunikací, schválenou MD-01 č. j. 101/07-910 IPK/1 ze dne 29. 1. 2007 s účinností od 1. 2. 2007, včetně Dodatku č. 1 MD-OSI, č. j. 998/09-910-IPK/1 s účinností od 1. 1. 2010 a s příslušnými kapitolami TKP, v aktuálním znění dle vyhlášky č. 405/2017 Sb., kterou se mění vyhláška č. 499/2006 Sb., o dokumentaci staveb, ve znění vyhlášky č. 62/2013 Sb., a vyhláška č. 169/2016 Sb., o stanovení rozsahu dokumentace veřejné zakázky na stavební práce a soupisu stavebních prací, dodávek a služeb a v aktuálním znění dle vyhlášky č. 146/2008 Sb.</w:t>
      </w:r>
    </w:p>
    <w:p w:rsidR="004E385D" w:rsidRPr="004E385D" w:rsidRDefault="004E385D" w:rsidP="004E385D">
      <w:pPr>
        <w:spacing w:after="120" w:line="240" w:lineRule="auto"/>
        <w:jc w:val="both"/>
        <w:rPr>
          <w:rFonts w:ascii="Arial" w:hAnsi="Arial" w:cs="Arial"/>
          <w:sz w:val="20"/>
          <w:szCs w:val="20"/>
        </w:rPr>
      </w:pPr>
    </w:p>
    <w:p w:rsidR="004E385D" w:rsidRPr="004E385D" w:rsidRDefault="004E385D" w:rsidP="004E385D">
      <w:pPr>
        <w:spacing w:after="120" w:line="240" w:lineRule="auto"/>
        <w:jc w:val="both"/>
        <w:rPr>
          <w:rFonts w:ascii="Arial" w:hAnsi="Arial" w:cs="Arial"/>
          <w:sz w:val="20"/>
          <w:szCs w:val="20"/>
        </w:rPr>
      </w:pPr>
      <w:r w:rsidRPr="004E385D">
        <w:rPr>
          <w:rFonts w:ascii="Arial" w:hAnsi="Arial" w:cs="Arial"/>
          <w:sz w:val="20"/>
          <w:szCs w:val="20"/>
        </w:rPr>
        <w:t>Dokumentace bude obsahovat zejména:</w:t>
      </w:r>
    </w:p>
    <w:p w:rsidR="004E385D" w:rsidRPr="004E385D" w:rsidRDefault="004E385D" w:rsidP="004E385D">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Posouzení asfaltových směsí dle vyhlášky č. 130/2019 Sb., o kritériích, při jejichž splnění je asfaltová směs vedlejším produktem nebo přestává být odpadem, v platném znění.</w:t>
      </w:r>
    </w:p>
    <w:p w:rsidR="004E385D" w:rsidRPr="004E385D" w:rsidRDefault="004E385D" w:rsidP="004E385D">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E385D">
        <w:rPr>
          <w:rFonts w:ascii="Arial" w:hAnsi="Arial" w:cs="Arial"/>
          <w:sz w:val="20"/>
          <w:szCs w:val="20"/>
        </w:rPr>
        <w:t>Návrh opravy stávajícího mostu bude proveden na základě těchto TP a vstupního výrobního výboru.</w:t>
      </w:r>
      <w:r w:rsidRPr="004E385D">
        <w:rPr>
          <w:rFonts w:ascii="Arial" w:eastAsia="Times New Roman" w:hAnsi="Arial" w:cs="Arial"/>
          <w:sz w:val="20"/>
          <w:szCs w:val="20"/>
          <w:lang w:eastAsia="cs-CZ"/>
        </w:rPr>
        <w:t xml:space="preserve"> Součástí dokumentace bude řešení případných přeložek inženýrských sítí a úprava konstrukce silnice v potřebném rozsahu.</w:t>
      </w:r>
    </w:p>
    <w:p w:rsidR="004E385D" w:rsidRPr="004E385D" w:rsidRDefault="004E385D" w:rsidP="004E385D">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Návrh parametrů doplňkového diagnostického průzkumu výztuže nosné konstrukce pro zajištění co nejlepší zatížitelnosti a stavebního stavu mostu po jeho opravě, doplňkový průzkum bude včetně přepočtu zatížitelnosti součástí položkového soupisu prací pro budoucího zhotovitele stavby</w:t>
      </w:r>
    </w:p>
    <w:p w:rsidR="004E385D" w:rsidRPr="004E385D" w:rsidRDefault="004E385D" w:rsidP="004E385D">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E385D">
        <w:rPr>
          <w:rFonts w:ascii="Arial" w:hAnsi="Arial" w:cs="Arial"/>
          <w:sz w:val="20"/>
          <w:szCs w:val="20"/>
        </w:rPr>
        <w:t>Zpracování Geometrického plánu, jeho projednání a vklad na příslušný Katastrální úřad pro zapsání věcného břemene (služebnosti) v případě trvalého záboru mostu na pozemku, se kterým hospodaří Povodí Moravy s. p.</w:t>
      </w:r>
    </w:p>
    <w:p w:rsidR="004E385D" w:rsidRPr="004E385D" w:rsidRDefault="004E385D" w:rsidP="004E385D">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Geodetické zaměření předmětného území (výškopisné a polohopisné zaměření) v potřebném rozsahu opravy mostu</w:t>
      </w:r>
    </w:p>
    <w:p w:rsidR="004E385D" w:rsidRPr="004E385D" w:rsidRDefault="004E385D" w:rsidP="004E385D">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Zákres stavby do aktuální katastrální mapy</w:t>
      </w:r>
    </w:p>
    <w:p w:rsidR="004E385D" w:rsidRPr="004E385D" w:rsidRDefault="004E385D" w:rsidP="004E385D">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 xml:space="preserve">Vytyčovací výkres stavby </w:t>
      </w:r>
    </w:p>
    <w:p w:rsidR="004E385D" w:rsidRPr="004E385D" w:rsidRDefault="004E385D" w:rsidP="004E385D">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Revize stávajícího a definitivní dopravní značení včetně příslušných projednání</w:t>
      </w:r>
    </w:p>
    <w:p w:rsidR="004E385D" w:rsidRPr="004E385D" w:rsidRDefault="004E385D" w:rsidP="004E385D">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 xml:space="preserve">Situace v měřítku 1:500 </w:t>
      </w:r>
    </w:p>
    <w:p w:rsidR="004E385D" w:rsidRPr="004E385D" w:rsidRDefault="004E385D" w:rsidP="004E385D">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Zásady organizace výstavby</w:t>
      </w:r>
    </w:p>
    <w:p w:rsidR="004E385D" w:rsidRPr="004E385D" w:rsidRDefault="004E385D" w:rsidP="004E385D">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Záborový elaborát s tabulkou dotčených pozemků pro dočasný a trvalý zábor a zákres do katastrální mapy včetně sousedních pozemků.</w:t>
      </w:r>
    </w:p>
    <w:p w:rsidR="004E385D" w:rsidRPr="004E385D" w:rsidRDefault="004E385D" w:rsidP="004E385D">
      <w:pPr>
        <w:numPr>
          <w:ilvl w:val="1"/>
          <w:numId w:val="25"/>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Zajištění souhlasu s vynětím pozemků trvale dotčených stavbou silnice ze ZPF a PUPFL včetně zpracování Pedologického průzkumu</w:t>
      </w:r>
    </w:p>
    <w:p w:rsidR="004E385D" w:rsidRPr="004E385D" w:rsidRDefault="004E385D" w:rsidP="004E385D">
      <w:pPr>
        <w:numPr>
          <w:ilvl w:val="1"/>
          <w:numId w:val="25"/>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Zajištění souhlasu s dočasným vynětím pozemků dočasného záboru ze ZPF</w:t>
      </w:r>
    </w:p>
    <w:p w:rsidR="004E385D" w:rsidRPr="004E385D" w:rsidRDefault="004E385D" w:rsidP="004E385D">
      <w:pPr>
        <w:numPr>
          <w:ilvl w:val="1"/>
          <w:numId w:val="25"/>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Součinnost zhotovitele při jednáních s vlastníky dotčených pozemků</w:t>
      </w:r>
    </w:p>
    <w:p w:rsidR="004E385D" w:rsidRPr="004E385D" w:rsidRDefault="004E385D" w:rsidP="004E385D">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Odhad stavebních nákladů.</w:t>
      </w:r>
    </w:p>
    <w:p w:rsidR="004E385D" w:rsidRPr="004E385D" w:rsidRDefault="004E385D" w:rsidP="004E385D">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Prověření průběhu inženýrských sítí, přeložky inženýrských sítí</w:t>
      </w:r>
    </w:p>
    <w:p w:rsidR="004E385D" w:rsidRPr="004E385D" w:rsidRDefault="004E385D" w:rsidP="004E385D">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4E385D" w:rsidRPr="004E385D" w:rsidRDefault="004E385D" w:rsidP="004E385D">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 xml:space="preserve">Zpracování povodňového a havarijního plánu </w:t>
      </w:r>
    </w:p>
    <w:p w:rsidR="004E385D" w:rsidRPr="004E385D" w:rsidRDefault="004E385D" w:rsidP="004E385D">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Zpracování plánu BOZP ve fázi přípravy projektu</w:t>
      </w:r>
    </w:p>
    <w:p w:rsidR="004E385D" w:rsidRPr="004E385D" w:rsidRDefault="004E385D" w:rsidP="004E385D">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Zajištění projednání, potřebných kladných vyjádření a souhlasných stanovisek všech orgánů státní správy a samosprávy, organizací a správců dotčených inženýrských sítí pro vydání SP, vč. případného následného zapracování změn do projektové dokumentace</w:t>
      </w:r>
    </w:p>
    <w:p w:rsidR="004E385D" w:rsidRPr="004E385D" w:rsidRDefault="004E385D" w:rsidP="004E385D">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E385D">
        <w:rPr>
          <w:rFonts w:ascii="Arial" w:hAnsi="Arial" w:cs="Arial"/>
          <w:sz w:val="20"/>
          <w:szCs w:val="20"/>
        </w:rPr>
        <w:t xml:space="preserve">Neoceněný soupis prací, oceněný soupis prací (kontrolní rozpočet pro potřeby objednatele), soupis prací bude zpracován v rozpočtovém programu </w:t>
      </w:r>
      <w:proofErr w:type="spellStart"/>
      <w:r w:rsidRPr="004E385D">
        <w:rPr>
          <w:rFonts w:ascii="Arial" w:hAnsi="Arial" w:cs="Arial"/>
          <w:sz w:val="20"/>
          <w:szCs w:val="20"/>
        </w:rPr>
        <w:t>Aspe</w:t>
      </w:r>
      <w:proofErr w:type="spellEnd"/>
      <w:r w:rsidRPr="004E385D">
        <w:rPr>
          <w:rFonts w:ascii="Arial" w:hAnsi="Arial" w:cs="Arial"/>
          <w:sz w:val="20"/>
          <w:szCs w:val="20"/>
        </w:rPr>
        <w:t xml:space="preserve"> (v oborovém třídníku stavebních konstrukcí </w:t>
      </w:r>
      <w:r w:rsidRPr="004E385D">
        <w:rPr>
          <w:rFonts w:ascii="Arial" w:hAnsi="Arial" w:cs="Arial"/>
          <w:sz w:val="20"/>
          <w:szCs w:val="20"/>
        </w:rPr>
        <w:lastRenderedPageBreak/>
        <w:t>OTSKP) v souladu s vyhláškou č. 405/2017 Sb., kterou se mění vyhláška č. 499/2006 Sb., o dokumentaci staveb, ve znění vyhlášky č. 62/2013 Sb., a vyhláška č. 169/2016 Sb., o stanovení rozsahu dokumentace veřejné zakázky na stavební práce a soupisu stavebních prací, dodávek a služeb.</w:t>
      </w:r>
    </w:p>
    <w:p w:rsidR="004E385D" w:rsidRPr="004E385D" w:rsidRDefault="004E385D" w:rsidP="004E385D">
      <w:pPr>
        <w:pStyle w:val="Odstavecseseznamem"/>
        <w:numPr>
          <w:ilvl w:val="0"/>
          <w:numId w:val="21"/>
        </w:numPr>
        <w:spacing w:after="120" w:line="240" w:lineRule="auto"/>
        <w:ind w:left="426" w:hanging="425"/>
        <w:jc w:val="both"/>
        <w:rPr>
          <w:rFonts w:ascii="Arial" w:hAnsi="Arial" w:cs="Arial"/>
          <w:sz w:val="20"/>
          <w:szCs w:val="20"/>
        </w:rPr>
      </w:pPr>
      <w:r w:rsidRPr="004E385D">
        <w:rPr>
          <w:rFonts w:ascii="Arial" w:hAnsi="Arial" w:cs="Arial"/>
          <w:sz w:val="20"/>
          <w:szCs w:val="20"/>
        </w:rPr>
        <w:t xml:space="preserve">Podání žádosti o stavební povolení, zajištění vydání SP včetně potřebné inženýrské činnosti (např. dořešení změn PD v průběhu SŘ), získání doložky nabytí právní moci SP. </w:t>
      </w:r>
    </w:p>
    <w:p w:rsidR="004E385D" w:rsidRPr="004E385D" w:rsidRDefault="004E385D" w:rsidP="004E385D">
      <w:pPr>
        <w:overflowPunct w:val="0"/>
        <w:autoSpaceDE w:val="0"/>
        <w:autoSpaceDN w:val="0"/>
        <w:adjustRightInd w:val="0"/>
        <w:spacing w:after="120" w:line="240" w:lineRule="auto"/>
        <w:ind w:left="426"/>
        <w:jc w:val="both"/>
        <w:textAlignment w:val="baseline"/>
        <w:rPr>
          <w:rFonts w:ascii="Arial" w:eastAsia="Times New Roman" w:hAnsi="Arial" w:cs="Arial"/>
          <w:sz w:val="20"/>
          <w:szCs w:val="20"/>
          <w:lang w:eastAsia="cs-CZ"/>
        </w:rPr>
      </w:pPr>
    </w:p>
    <w:p w:rsidR="004E385D" w:rsidRPr="004E385D" w:rsidRDefault="004E385D" w:rsidP="004E385D">
      <w:pPr>
        <w:spacing w:after="120" w:line="240" w:lineRule="auto"/>
        <w:jc w:val="both"/>
        <w:rPr>
          <w:rFonts w:ascii="Arial" w:hAnsi="Arial" w:cs="Arial"/>
          <w:sz w:val="20"/>
          <w:szCs w:val="20"/>
        </w:rPr>
      </w:pPr>
      <w:r w:rsidRPr="004E385D">
        <w:rPr>
          <w:rFonts w:ascii="Arial" w:hAnsi="Arial" w:cs="Arial"/>
          <w:sz w:val="20"/>
          <w:szCs w:val="20"/>
        </w:rPr>
        <w:t xml:space="preserve">Majetkoprávní příprava, včetně zajištění příslušných smluv dle § 110 zákona 183/2006 Sb. stavební zákona není součástí předmětu plnění a bude realizována zadavatelem. </w:t>
      </w:r>
    </w:p>
    <w:p w:rsidR="004E385D" w:rsidRPr="004E385D" w:rsidRDefault="004E385D" w:rsidP="004E385D">
      <w:pPr>
        <w:spacing w:after="120" w:line="240" w:lineRule="auto"/>
        <w:jc w:val="both"/>
        <w:rPr>
          <w:rFonts w:ascii="Arial" w:hAnsi="Arial" w:cs="Arial"/>
          <w:sz w:val="20"/>
          <w:szCs w:val="20"/>
        </w:rPr>
      </w:pPr>
      <w:r w:rsidRPr="004E385D">
        <w:rPr>
          <w:rFonts w:ascii="Arial" w:hAnsi="Arial" w:cs="Arial"/>
          <w:sz w:val="20"/>
          <w:szCs w:val="20"/>
        </w:rPr>
        <w:t>Zhotovitel projektové dokumentace je povinen zajistit vyjádření (souhlasy) vlastníků stavbou dotčených pozemků na katastrální situaci, která bude součástí PD.</w:t>
      </w:r>
    </w:p>
    <w:p w:rsidR="004E385D" w:rsidRPr="004E385D" w:rsidRDefault="004E385D" w:rsidP="004E385D">
      <w:pPr>
        <w:spacing w:after="120" w:line="240" w:lineRule="auto"/>
        <w:jc w:val="both"/>
        <w:rPr>
          <w:rFonts w:ascii="Arial" w:hAnsi="Arial" w:cs="Arial"/>
          <w:sz w:val="20"/>
          <w:szCs w:val="20"/>
        </w:rPr>
      </w:pPr>
      <w:r w:rsidRPr="004E385D">
        <w:rPr>
          <w:rFonts w:ascii="Arial" w:hAnsi="Arial" w:cs="Arial"/>
          <w:sz w:val="20"/>
          <w:szCs w:val="20"/>
        </w:rPr>
        <w:t>Zhotovitel projektové dokumentace je dále povinen spolupracovat se zadavatelem při jednání s vlastníky -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4E385D" w:rsidRPr="004E385D" w:rsidRDefault="004E385D" w:rsidP="004E385D">
      <w:pPr>
        <w:spacing w:after="120" w:line="240" w:lineRule="auto"/>
        <w:jc w:val="both"/>
        <w:rPr>
          <w:rFonts w:ascii="Arial" w:hAnsi="Arial" w:cs="Arial"/>
          <w:sz w:val="20"/>
          <w:szCs w:val="20"/>
        </w:rPr>
      </w:pPr>
      <w:r w:rsidRPr="004E385D">
        <w:rPr>
          <w:rFonts w:ascii="Arial" w:hAnsi="Arial" w:cs="Arial"/>
          <w:sz w:val="20"/>
          <w:szCs w:val="20"/>
        </w:rPr>
        <w:t xml:space="preserve">Dokumentace bude projednána na výrobních výborech (minimálně 4x) za účasti všech orgánů, organizací a vlastníků pozemků, dotčených touto stavbou. Jednání svolává a zápis vyhotovuje zhotovitel projektové dokumentace. </w:t>
      </w:r>
    </w:p>
    <w:p w:rsidR="004E385D" w:rsidRPr="004E385D" w:rsidRDefault="004E385D" w:rsidP="004E385D">
      <w:pPr>
        <w:spacing w:after="120" w:line="240" w:lineRule="auto"/>
        <w:jc w:val="both"/>
        <w:rPr>
          <w:rFonts w:ascii="Arial" w:hAnsi="Arial" w:cs="Arial"/>
          <w:sz w:val="20"/>
          <w:szCs w:val="20"/>
        </w:rPr>
      </w:pPr>
      <w:r w:rsidRPr="004E385D">
        <w:rPr>
          <w:rFonts w:ascii="Arial" w:hAnsi="Arial" w:cs="Arial"/>
          <w:sz w:val="20"/>
          <w:szCs w:val="20"/>
        </w:rPr>
        <w:t>Konečná verze konceptu dokumentace ve stupni DSP a posléze i PDPS bude projednána v </w:t>
      </w:r>
      <w:proofErr w:type="spellStart"/>
      <w:r w:rsidRPr="004E385D">
        <w:rPr>
          <w:rFonts w:ascii="Arial" w:hAnsi="Arial" w:cs="Arial"/>
          <w:sz w:val="20"/>
          <w:szCs w:val="20"/>
        </w:rPr>
        <w:t>technicko-dokumentační</w:t>
      </w:r>
      <w:proofErr w:type="spellEnd"/>
      <w:r w:rsidRPr="004E385D">
        <w:rPr>
          <w:rFonts w:ascii="Arial" w:hAnsi="Arial" w:cs="Arial"/>
          <w:sz w:val="20"/>
          <w:szCs w:val="20"/>
        </w:rPr>
        <w:t xml:space="preserve"> komisi (TDK), kterou svolá zástupce zadavatele, za účasti zástupce </w:t>
      </w:r>
      <w:proofErr w:type="spellStart"/>
      <w:r w:rsidRPr="004E385D">
        <w:rPr>
          <w:rFonts w:ascii="Arial" w:hAnsi="Arial" w:cs="Arial"/>
          <w:sz w:val="20"/>
          <w:szCs w:val="20"/>
        </w:rPr>
        <w:t>KrÚ</w:t>
      </w:r>
      <w:proofErr w:type="spellEnd"/>
      <w:r w:rsidRPr="004E385D">
        <w:rPr>
          <w:rFonts w:ascii="Arial" w:hAnsi="Arial" w:cs="Arial"/>
          <w:sz w:val="20"/>
          <w:szCs w:val="20"/>
        </w:rPr>
        <w:t xml:space="preserve"> ODSH. </w:t>
      </w:r>
    </w:p>
    <w:p w:rsidR="004E385D" w:rsidRPr="004E385D" w:rsidRDefault="004E385D" w:rsidP="004E385D">
      <w:pPr>
        <w:spacing w:after="120" w:line="240" w:lineRule="auto"/>
        <w:jc w:val="both"/>
        <w:rPr>
          <w:rFonts w:ascii="Arial" w:hAnsi="Arial" w:cs="Arial"/>
          <w:sz w:val="20"/>
          <w:szCs w:val="20"/>
        </w:rPr>
      </w:pPr>
    </w:p>
    <w:p w:rsidR="004E385D" w:rsidRPr="004E385D" w:rsidRDefault="004E385D" w:rsidP="004E385D">
      <w:pPr>
        <w:overflowPunct w:val="0"/>
        <w:autoSpaceDE w:val="0"/>
        <w:autoSpaceDN w:val="0"/>
        <w:adjustRightInd w:val="0"/>
        <w:spacing w:after="120" w:line="240" w:lineRule="auto"/>
        <w:jc w:val="both"/>
        <w:textAlignment w:val="baseline"/>
        <w:rPr>
          <w:rFonts w:ascii="Arial" w:hAnsi="Arial" w:cs="Arial"/>
          <w:sz w:val="20"/>
          <w:szCs w:val="20"/>
        </w:rPr>
      </w:pPr>
      <w:r w:rsidRPr="004E385D">
        <w:rPr>
          <w:rFonts w:ascii="Arial" w:hAnsi="Arial" w:cs="Arial"/>
          <w:sz w:val="20"/>
          <w:szCs w:val="20"/>
        </w:rPr>
        <w:t xml:space="preserve">Po definitivním odsouhlasení zadavatelem bude následně DSP předána zadavateli v tištěné podobě a na USB </w:t>
      </w:r>
      <w:proofErr w:type="spellStart"/>
      <w:r w:rsidRPr="004E385D">
        <w:rPr>
          <w:rFonts w:ascii="Arial" w:hAnsi="Arial" w:cs="Arial"/>
          <w:sz w:val="20"/>
          <w:szCs w:val="20"/>
        </w:rPr>
        <w:t>flash</w:t>
      </w:r>
      <w:proofErr w:type="spellEnd"/>
      <w:r w:rsidRPr="004E385D">
        <w:rPr>
          <w:rFonts w:ascii="Arial" w:hAnsi="Arial" w:cs="Arial"/>
          <w:sz w:val="20"/>
          <w:szCs w:val="20"/>
        </w:rPr>
        <w:t xml:space="preserve"> nosiči (v plném rozsahu tištěné podoby) v následujícím počtu:</w:t>
      </w:r>
    </w:p>
    <w:p w:rsidR="004E385D" w:rsidRPr="004E385D" w:rsidRDefault="004E385D" w:rsidP="004E385D">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 xml:space="preserve">DSP - 2x v tištěné podobě, vč. dokladové části ve všech </w:t>
      </w:r>
      <w:proofErr w:type="spellStart"/>
      <w:r w:rsidRPr="004E385D">
        <w:rPr>
          <w:rFonts w:ascii="Arial" w:eastAsia="Times New Roman" w:hAnsi="Arial" w:cs="Arial"/>
          <w:sz w:val="20"/>
          <w:szCs w:val="20"/>
          <w:lang w:eastAsia="cs-CZ"/>
        </w:rPr>
        <w:t>paré</w:t>
      </w:r>
      <w:proofErr w:type="spellEnd"/>
      <w:r w:rsidRPr="004E385D">
        <w:rPr>
          <w:rFonts w:ascii="Arial" w:eastAsia="Times New Roman" w:hAnsi="Arial" w:cs="Arial"/>
          <w:sz w:val="20"/>
          <w:szCs w:val="20"/>
          <w:lang w:eastAsia="cs-CZ"/>
        </w:rPr>
        <w:t>, 1x v digitální ve formátu *.</w:t>
      </w:r>
      <w:proofErr w:type="spellStart"/>
      <w:r w:rsidRPr="004E385D">
        <w:rPr>
          <w:rFonts w:ascii="Arial" w:eastAsia="Times New Roman" w:hAnsi="Arial" w:cs="Arial"/>
          <w:sz w:val="20"/>
          <w:szCs w:val="20"/>
          <w:lang w:eastAsia="cs-CZ"/>
        </w:rPr>
        <w:t>dwg</w:t>
      </w:r>
      <w:proofErr w:type="spellEnd"/>
      <w:r w:rsidRPr="004E385D">
        <w:rPr>
          <w:rFonts w:ascii="Arial" w:eastAsia="Times New Roman" w:hAnsi="Arial" w:cs="Arial"/>
          <w:sz w:val="20"/>
          <w:szCs w:val="20"/>
          <w:lang w:eastAsia="cs-CZ"/>
        </w:rPr>
        <w:t xml:space="preserve"> a *.</w:t>
      </w:r>
      <w:proofErr w:type="spellStart"/>
      <w:r w:rsidRPr="004E385D">
        <w:rPr>
          <w:rFonts w:ascii="Arial" w:eastAsia="Times New Roman" w:hAnsi="Arial" w:cs="Arial"/>
          <w:sz w:val="20"/>
          <w:szCs w:val="20"/>
          <w:lang w:eastAsia="cs-CZ"/>
        </w:rPr>
        <w:t>pdf</w:t>
      </w:r>
      <w:proofErr w:type="spellEnd"/>
      <w:r w:rsidRPr="004E385D">
        <w:rPr>
          <w:rFonts w:ascii="Arial" w:eastAsia="Times New Roman" w:hAnsi="Arial" w:cs="Arial"/>
          <w:sz w:val="20"/>
          <w:szCs w:val="20"/>
          <w:lang w:eastAsia="cs-CZ"/>
        </w:rPr>
        <w:t xml:space="preserve"> </w:t>
      </w:r>
      <w:r w:rsidRPr="004E385D">
        <w:rPr>
          <w:rFonts w:ascii="Arial" w:hAnsi="Arial" w:cs="Arial"/>
          <w:sz w:val="20"/>
          <w:szCs w:val="20"/>
        </w:rPr>
        <w:t>*.doc(x), *.</w:t>
      </w:r>
      <w:proofErr w:type="spellStart"/>
      <w:r w:rsidRPr="004E385D">
        <w:rPr>
          <w:rFonts w:ascii="Arial" w:hAnsi="Arial" w:cs="Arial"/>
          <w:sz w:val="20"/>
          <w:szCs w:val="20"/>
        </w:rPr>
        <w:t>xls</w:t>
      </w:r>
      <w:proofErr w:type="spellEnd"/>
      <w:r w:rsidRPr="004E385D">
        <w:rPr>
          <w:rFonts w:ascii="Arial" w:hAnsi="Arial" w:cs="Arial"/>
          <w:sz w:val="20"/>
          <w:szCs w:val="20"/>
        </w:rPr>
        <w:t>(x)</w:t>
      </w:r>
    </w:p>
    <w:p w:rsidR="004E385D" w:rsidRPr="004E385D" w:rsidRDefault="004E385D" w:rsidP="004E385D">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Záborový elaborát – 1x v tištěné podobě, 1x v digitální ve formátu *.</w:t>
      </w:r>
      <w:proofErr w:type="spellStart"/>
      <w:r w:rsidRPr="004E385D">
        <w:rPr>
          <w:rFonts w:ascii="Arial" w:eastAsia="Times New Roman" w:hAnsi="Arial" w:cs="Arial"/>
          <w:sz w:val="20"/>
          <w:szCs w:val="20"/>
          <w:lang w:eastAsia="cs-CZ"/>
        </w:rPr>
        <w:t>pdf</w:t>
      </w:r>
      <w:proofErr w:type="spellEnd"/>
      <w:r w:rsidRPr="004E385D">
        <w:rPr>
          <w:rFonts w:ascii="Arial" w:eastAsia="Times New Roman" w:hAnsi="Arial" w:cs="Arial"/>
          <w:sz w:val="20"/>
          <w:szCs w:val="20"/>
          <w:lang w:eastAsia="cs-CZ"/>
        </w:rPr>
        <w:t xml:space="preserve"> nebo *.</w:t>
      </w:r>
      <w:proofErr w:type="spellStart"/>
      <w:r w:rsidRPr="004E385D">
        <w:rPr>
          <w:rFonts w:ascii="Arial" w:eastAsia="Times New Roman" w:hAnsi="Arial" w:cs="Arial"/>
          <w:sz w:val="20"/>
          <w:szCs w:val="20"/>
          <w:lang w:eastAsia="cs-CZ"/>
        </w:rPr>
        <w:t>xls</w:t>
      </w:r>
      <w:proofErr w:type="spellEnd"/>
    </w:p>
    <w:p w:rsidR="004E385D" w:rsidRPr="004E385D" w:rsidRDefault="004E385D" w:rsidP="004E385D">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Geodetické zaměření – 1x v tištěné podobě, 1x v digitální ve formátu *.</w:t>
      </w:r>
      <w:proofErr w:type="spellStart"/>
      <w:r w:rsidRPr="004E385D">
        <w:rPr>
          <w:rFonts w:ascii="Arial" w:eastAsia="Times New Roman" w:hAnsi="Arial" w:cs="Arial"/>
          <w:sz w:val="20"/>
          <w:szCs w:val="20"/>
          <w:lang w:eastAsia="cs-CZ"/>
        </w:rPr>
        <w:t>dwg</w:t>
      </w:r>
      <w:proofErr w:type="spellEnd"/>
      <w:r w:rsidRPr="004E385D">
        <w:rPr>
          <w:rFonts w:ascii="Arial" w:eastAsia="Times New Roman" w:hAnsi="Arial" w:cs="Arial"/>
          <w:sz w:val="20"/>
          <w:szCs w:val="20"/>
          <w:lang w:eastAsia="cs-CZ"/>
        </w:rPr>
        <w:t xml:space="preserve"> (*.</w:t>
      </w:r>
      <w:proofErr w:type="spellStart"/>
      <w:r w:rsidRPr="004E385D">
        <w:rPr>
          <w:rFonts w:ascii="Arial" w:eastAsia="Times New Roman" w:hAnsi="Arial" w:cs="Arial"/>
          <w:sz w:val="20"/>
          <w:szCs w:val="20"/>
          <w:lang w:eastAsia="cs-CZ"/>
        </w:rPr>
        <w:t>dgn</w:t>
      </w:r>
      <w:proofErr w:type="spellEnd"/>
      <w:r w:rsidRPr="004E385D">
        <w:rPr>
          <w:rFonts w:ascii="Arial" w:eastAsia="Times New Roman" w:hAnsi="Arial" w:cs="Arial"/>
          <w:sz w:val="20"/>
          <w:szCs w:val="20"/>
          <w:lang w:eastAsia="cs-CZ"/>
        </w:rPr>
        <w:t>) a *.</w:t>
      </w:r>
      <w:proofErr w:type="spellStart"/>
      <w:r w:rsidRPr="004E385D">
        <w:rPr>
          <w:rFonts w:ascii="Arial" w:eastAsia="Times New Roman" w:hAnsi="Arial" w:cs="Arial"/>
          <w:sz w:val="20"/>
          <w:szCs w:val="20"/>
          <w:lang w:eastAsia="cs-CZ"/>
        </w:rPr>
        <w:t>pdf</w:t>
      </w:r>
      <w:proofErr w:type="spellEnd"/>
      <w:r w:rsidRPr="004E385D">
        <w:rPr>
          <w:rFonts w:ascii="Arial" w:eastAsia="Times New Roman" w:hAnsi="Arial" w:cs="Arial"/>
          <w:sz w:val="20"/>
          <w:szCs w:val="20"/>
          <w:lang w:eastAsia="cs-CZ"/>
        </w:rPr>
        <w:t xml:space="preserve"> a vytyčovací síť vytyčovaných bodů ve formátu *.doc, *.</w:t>
      </w:r>
      <w:proofErr w:type="spellStart"/>
      <w:r w:rsidRPr="004E385D">
        <w:rPr>
          <w:rFonts w:ascii="Arial" w:eastAsia="Times New Roman" w:hAnsi="Arial" w:cs="Arial"/>
          <w:sz w:val="20"/>
          <w:szCs w:val="20"/>
          <w:lang w:eastAsia="cs-CZ"/>
        </w:rPr>
        <w:t>xls</w:t>
      </w:r>
      <w:proofErr w:type="spellEnd"/>
      <w:r w:rsidRPr="004E385D">
        <w:rPr>
          <w:rFonts w:ascii="Arial" w:eastAsia="Times New Roman" w:hAnsi="Arial" w:cs="Arial"/>
          <w:sz w:val="20"/>
          <w:szCs w:val="20"/>
          <w:lang w:eastAsia="cs-CZ"/>
        </w:rPr>
        <w:t xml:space="preserve"> nebo *.</w:t>
      </w:r>
      <w:proofErr w:type="spellStart"/>
      <w:r w:rsidRPr="004E385D">
        <w:rPr>
          <w:rFonts w:ascii="Arial" w:eastAsia="Times New Roman" w:hAnsi="Arial" w:cs="Arial"/>
          <w:sz w:val="20"/>
          <w:szCs w:val="20"/>
          <w:lang w:eastAsia="cs-CZ"/>
        </w:rPr>
        <w:t>txt</w:t>
      </w:r>
      <w:proofErr w:type="spellEnd"/>
    </w:p>
    <w:p w:rsidR="004E385D" w:rsidRPr="004E385D" w:rsidRDefault="004E385D" w:rsidP="004E385D">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Odhad stavebních nákladů – 1x v tištěné podobě, 1x v digitální ve formátu *.</w:t>
      </w:r>
      <w:proofErr w:type="spellStart"/>
      <w:r w:rsidRPr="004E385D">
        <w:rPr>
          <w:rFonts w:ascii="Arial" w:eastAsia="Times New Roman" w:hAnsi="Arial" w:cs="Arial"/>
          <w:sz w:val="20"/>
          <w:szCs w:val="20"/>
          <w:lang w:eastAsia="cs-CZ"/>
        </w:rPr>
        <w:t>pdf</w:t>
      </w:r>
      <w:proofErr w:type="spellEnd"/>
      <w:r w:rsidRPr="004E385D">
        <w:rPr>
          <w:rFonts w:ascii="Arial" w:eastAsia="Times New Roman" w:hAnsi="Arial" w:cs="Arial"/>
          <w:sz w:val="20"/>
          <w:szCs w:val="20"/>
          <w:lang w:eastAsia="cs-CZ"/>
        </w:rPr>
        <w:t xml:space="preserve"> nebo *.</w:t>
      </w:r>
      <w:proofErr w:type="spellStart"/>
      <w:r w:rsidRPr="004E385D">
        <w:rPr>
          <w:rFonts w:ascii="Arial" w:eastAsia="Times New Roman" w:hAnsi="Arial" w:cs="Arial"/>
          <w:sz w:val="20"/>
          <w:szCs w:val="20"/>
          <w:lang w:eastAsia="cs-CZ"/>
        </w:rPr>
        <w:t>xls</w:t>
      </w:r>
      <w:proofErr w:type="spellEnd"/>
    </w:p>
    <w:p w:rsidR="004E385D" w:rsidRPr="004E385D" w:rsidRDefault="004E385D" w:rsidP="004E385D">
      <w:pPr>
        <w:overflowPunct w:val="0"/>
        <w:autoSpaceDE w:val="0"/>
        <w:autoSpaceDN w:val="0"/>
        <w:adjustRightInd w:val="0"/>
        <w:spacing w:after="120" w:line="240" w:lineRule="auto"/>
        <w:ind w:left="426"/>
        <w:contextualSpacing/>
        <w:jc w:val="both"/>
        <w:textAlignment w:val="baseline"/>
        <w:rPr>
          <w:rFonts w:ascii="Arial" w:eastAsia="Times New Roman" w:hAnsi="Arial" w:cs="Arial"/>
          <w:sz w:val="20"/>
          <w:szCs w:val="20"/>
          <w:lang w:eastAsia="cs-CZ"/>
        </w:rPr>
      </w:pPr>
    </w:p>
    <w:p w:rsidR="004E385D" w:rsidRPr="004E385D" w:rsidRDefault="004E385D" w:rsidP="004E385D">
      <w:pPr>
        <w:overflowPunct w:val="0"/>
        <w:autoSpaceDE w:val="0"/>
        <w:autoSpaceDN w:val="0"/>
        <w:adjustRightInd w:val="0"/>
        <w:spacing w:after="120" w:line="240" w:lineRule="auto"/>
        <w:jc w:val="both"/>
        <w:textAlignment w:val="baseline"/>
        <w:rPr>
          <w:rFonts w:ascii="Arial" w:hAnsi="Arial" w:cs="Arial"/>
          <w:sz w:val="20"/>
          <w:szCs w:val="20"/>
        </w:rPr>
      </w:pPr>
      <w:r w:rsidRPr="004E385D">
        <w:rPr>
          <w:rFonts w:ascii="Arial" w:hAnsi="Arial" w:cs="Arial"/>
          <w:sz w:val="20"/>
          <w:szCs w:val="20"/>
        </w:rPr>
        <w:t xml:space="preserve">Po definitivním odsouhlasení zadavatelem bude následně PDPS předána zadavateli v tištěné podobě a na USB </w:t>
      </w:r>
      <w:proofErr w:type="spellStart"/>
      <w:r w:rsidRPr="004E385D">
        <w:rPr>
          <w:rFonts w:ascii="Arial" w:hAnsi="Arial" w:cs="Arial"/>
          <w:sz w:val="20"/>
          <w:szCs w:val="20"/>
        </w:rPr>
        <w:t>flash</w:t>
      </w:r>
      <w:proofErr w:type="spellEnd"/>
      <w:r w:rsidRPr="004E385D">
        <w:rPr>
          <w:rFonts w:ascii="Arial" w:hAnsi="Arial" w:cs="Arial"/>
          <w:sz w:val="20"/>
          <w:szCs w:val="20"/>
        </w:rPr>
        <w:t xml:space="preserve"> nosiči (v plném rozsahu tištěné podoby) v následujícím počtu:</w:t>
      </w:r>
    </w:p>
    <w:p w:rsidR="004E385D" w:rsidRPr="004E385D" w:rsidRDefault="004E385D" w:rsidP="004E385D">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E385D">
        <w:rPr>
          <w:rFonts w:ascii="Arial" w:hAnsi="Arial" w:cs="Arial"/>
          <w:sz w:val="20"/>
          <w:szCs w:val="20"/>
        </w:rPr>
        <w:t xml:space="preserve">PDPS - 5x v tištěné podobě, vč. dokladové části ve 2 </w:t>
      </w:r>
      <w:proofErr w:type="spellStart"/>
      <w:r w:rsidRPr="004E385D">
        <w:rPr>
          <w:rFonts w:ascii="Arial" w:hAnsi="Arial" w:cs="Arial"/>
          <w:sz w:val="20"/>
          <w:szCs w:val="20"/>
        </w:rPr>
        <w:t>paré</w:t>
      </w:r>
      <w:proofErr w:type="spellEnd"/>
      <w:r w:rsidRPr="004E385D">
        <w:rPr>
          <w:rFonts w:ascii="Arial" w:hAnsi="Arial" w:cs="Arial"/>
          <w:sz w:val="20"/>
          <w:szCs w:val="20"/>
        </w:rPr>
        <w:t>, 2x v digitální ve formátu *.</w:t>
      </w:r>
      <w:proofErr w:type="spellStart"/>
      <w:r w:rsidRPr="004E385D">
        <w:rPr>
          <w:rFonts w:ascii="Arial" w:hAnsi="Arial" w:cs="Arial"/>
          <w:sz w:val="20"/>
          <w:szCs w:val="20"/>
        </w:rPr>
        <w:t>dwg</w:t>
      </w:r>
      <w:proofErr w:type="spellEnd"/>
      <w:r w:rsidRPr="004E385D">
        <w:rPr>
          <w:rFonts w:ascii="Arial" w:hAnsi="Arial" w:cs="Arial"/>
          <w:sz w:val="20"/>
          <w:szCs w:val="20"/>
        </w:rPr>
        <w:t xml:space="preserve"> a *.</w:t>
      </w:r>
      <w:proofErr w:type="spellStart"/>
      <w:r w:rsidRPr="004E385D">
        <w:rPr>
          <w:rFonts w:ascii="Arial" w:hAnsi="Arial" w:cs="Arial"/>
          <w:sz w:val="20"/>
          <w:szCs w:val="20"/>
        </w:rPr>
        <w:t>pdf</w:t>
      </w:r>
      <w:proofErr w:type="spellEnd"/>
      <w:r w:rsidRPr="004E385D">
        <w:rPr>
          <w:rFonts w:ascii="Arial" w:hAnsi="Arial" w:cs="Arial"/>
          <w:sz w:val="20"/>
          <w:szCs w:val="20"/>
        </w:rPr>
        <w:t xml:space="preserve"> </w:t>
      </w:r>
    </w:p>
    <w:p w:rsidR="004E385D" w:rsidRPr="004E385D" w:rsidRDefault="004E385D" w:rsidP="004E385D">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E385D">
        <w:rPr>
          <w:rFonts w:ascii="Arial" w:hAnsi="Arial" w:cs="Arial"/>
          <w:sz w:val="20"/>
          <w:szCs w:val="20"/>
        </w:rPr>
        <w:t>Oceněný soupis prací – 1x v tištěné podobě, 2x v digitální ve formátu *.</w:t>
      </w:r>
      <w:proofErr w:type="spellStart"/>
      <w:r w:rsidRPr="004E385D">
        <w:rPr>
          <w:rFonts w:ascii="Arial" w:hAnsi="Arial" w:cs="Arial"/>
          <w:sz w:val="20"/>
          <w:szCs w:val="20"/>
        </w:rPr>
        <w:t>xls</w:t>
      </w:r>
      <w:proofErr w:type="spellEnd"/>
      <w:r w:rsidRPr="004E385D">
        <w:rPr>
          <w:rFonts w:ascii="Arial" w:hAnsi="Arial" w:cs="Arial"/>
          <w:sz w:val="20"/>
          <w:szCs w:val="20"/>
        </w:rPr>
        <w:t>, *.</w:t>
      </w:r>
      <w:proofErr w:type="spellStart"/>
      <w:proofErr w:type="gramStart"/>
      <w:r w:rsidRPr="004E385D">
        <w:rPr>
          <w:rFonts w:ascii="Arial" w:hAnsi="Arial" w:cs="Arial"/>
          <w:sz w:val="20"/>
          <w:szCs w:val="20"/>
        </w:rPr>
        <w:t>pdf</w:t>
      </w:r>
      <w:proofErr w:type="spellEnd"/>
      <w:r w:rsidRPr="004E385D">
        <w:rPr>
          <w:rFonts w:ascii="Arial" w:hAnsi="Arial" w:cs="Arial"/>
          <w:sz w:val="20"/>
          <w:szCs w:val="20"/>
        </w:rPr>
        <w:t xml:space="preserve"> a *.</w:t>
      </w:r>
      <w:proofErr w:type="spellStart"/>
      <w:r w:rsidRPr="004E385D">
        <w:rPr>
          <w:rFonts w:ascii="Arial" w:hAnsi="Arial" w:cs="Arial"/>
          <w:sz w:val="20"/>
          <w:szCs w:val="20"/>
        </w:rPr>
        <w:t>xml</w:t>
      </w:r>
      <w:proofErr w:type="spellEnd"/>
      <w:proofErr w:type="gramEnd"/>
      <w:r w:rsidRPr="004E385D">
        <w:rPr>
          <w:rFonts w:ascii="Arial" w:hAnsi="Arial" w:cs="Arial"/>
          <w:sz w:val="20"/>
          <w:szCs w:val="20"/>
        </w:rPr>
        <w:t xml:space="preserve"> (exportní soubor z </w:t>
      </w:r>
      <w:proofErr w:type="spellStart"/>
      <w:r w:rsidRPr="004E385D">
        <w:rPr>
          <w:rFonts w:ascii="Arial" w:hAnsi="Arial" w:cs="Arial"/>
          <w:sz w:val="20"/>
          <w:szCs w:val="20"/>
        </w:rPr>
        <w:t>Aspe</w:t>
      </w:r>
      <w:proofErr w:type="spellEnd"/>
      <w:r w:rsidRPr="004E385D">
        <w:rPr>
          <w:rFonts w:ascii="Arial" w:hAnsi="Arial" w:cs="Arial"/>
          <w:sz w:val="20"/>
          <w:szCs w:val="20"/>
        </w:rPr>
        <w:t xml:space="preserve"> ve formátu XC4)</w:t>
      </w:r>
    </w:p>
    <w:p w:rsidR="004E385D" w:rsidRPr="004E385D" w:rsidRDefault="004E385D" w:rsidP="004E385D">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E385D">
        <w:rPr>
          <w:rFonts w:ascii="Arial" w:hAnsi="Arial" w:cs="Arial"/>
          <w:sz w:val="20"/>
          <w:szCs w:val="20"/>
        </w:rPr>
        <w:t>Neoceněný soupis prací – 2x v digitální ve formátu *.</w:t>
      </w:r>
      <w:proofErr w:type="spellStart"/>
      <w:r w:rsidRPr="004E385D">
        <w:rPr>
          <w:rFonts w:ascii="Arial" w:hAnsi="Arial" w:cs="Arial"/>
          <w:sz w:val="20"/>
          <w:szCs w:val="20"/>
        </w:rPr>
        <w:t>xls</w:t>
      </w:r>
      <w:proofErr w:type="spellEnd"/>
      <w:r w:rsidRPr="004E385D">
        <w:rPr>
          <w:rFonts w:ascii="Arial" w:hAnsi="Arial" w:cs="Arial"/>
          <w:sz w:val="20"/>
          <w:szCs w:val="20"/>
        </w:rPr>
        <w:t>, *.</w:t>
      </w:r>
      <w:proofErr w:type="spellStart"/>
      <w:proofErr w:type="gramStart"/>
      <w:r w:rsidRPr="004E385D">
        <w:rPr>
          <w:rFonts w:ascii="Arial" w:hAnsi="Arial" w:cs="Arial"/>
          <w:sz w:val="20"/>
          <w:szCs w:val="20"/>
        </w:rPr>
        <w:t>pdf</w:t>
      </w:r>
      <w:proofErr w:type="spellEnd"/>
      <w:r w:rsidRPr="004E385D">
        <w:rPr>
          <w:rFonts w:ascii="Arial" w:hAnsi="Arial" w:cs="Arial"/>
          <w:sz w:val="20"/>
          <w:szCs w:val="20"/>
        </w:rPr>
        <w:t xml:space="preserve"> a *.</w:t>
      </w:r>
      <w:proofErr w:type="spellStart"/>
      <w:r w:rsidRPr="004E385D">
        <w:rPr>
          <w:rFonts w:ascii="Arial" w:hAnsi="Arial" w:cs="Arial"/>
          <w:sz w:val="20"/>
          <w:szCs w:val="20"/>
        </w:rPr>
        <w:t>xml</w:t>
      </w:r>
      <w:proofErr w:type="spellEnd"/>
      <w:proofErr w:type="gramEnd"/>
      <w:r w:rsidRPr="004E385D">
        <w:rPr>
          <w:rFonts w:ascii="Arial" w:hAnsi="Arial" w:cs="Arial"/>
          <w:sz w:val="20"/>
          <w:szCs w:val="20"/>
        </w:rPr>
        <w:t xml:space="preserve"> (exportní soubor z </w:t>
      </w:r>
      <w:proofErr w:type="spellStart"/>
      <w:r w:rsidRPr="004E385D">
        <w:rPr>
          <w:rFonts w:ascii="Arial" w:hAnsi="Arial" w:cs="Arial"/>
          <w:sz w:val="20"/>
          <w:szCs w:val="20"/>
        </w:rPr>
        <w:t>Aspe</w:t>
      </w:r>
      <w:proofErr w:type="spellEnd"/>
      <w:r w:rsidRPr="004E385D">
        <w:rPr>
          <w:rFonts w:ascii="Arial" w:hAnsi="Arial" w:cs="Arial"/>
          <w:sz w:val="20"/>
          <w:szCs w:val="20"/>
        </w:rPr>
        <w:t xml:space="preserve"> ve formátu XC4)</w:t>
      </w:r>
    </w:p>
    <w:p w:rsidR="004E385D" w:rsidRPr="004E385D" w:rsidRDefault="004E385D" w:rsidP="004E385D">
      <w:pPr>
        <w:spacing w:after="120" w:line="240" w:lineRule="auto"/>
        <w:contextualSpacing/>
        <w:jc w:val="both"/>
        <w:rPr>
          <w:rFonts w:ascii="Arial" w:eastAsia="Times New Roman" w:hAnsi="Arial" w:cs="Arial"/>
          <w:sz w:val="20"/>
          <w:szCs w:val="20"/>
          <w:lang w:eastAsia="cs-CZ"/>
        </w:rPr>
      </w:pPr>
    </w:p>
    <w:p w:rsidR="004E385D" w:rsidRPr="004E385D" w:rsidRDefault="004E385D" w:rsidP="004E385D">
      <w:pPr>
        <w:overflowPunct w:val="0"/>
        <w:autoSpaceDE w:val="0"/>
        <w:autoSpaceDN w:val="0"/>
        <w:adjustRightInd w:val="0"/>
        <w:spacing w:after="120" w:line="240" w:lineRule="auto"/>
        <w:jc w:val="both"/>
        <w:textAlignment w:val="baseline"/>
        <w:rPr>
          <w:rFonts w:ascii="Arial" w:hAnsi="Arial" w:cs="Arial"/>
          <w:sz w:val="20"/>
          <w:szCs w:val="20"/>
          <w:u w:val="single"/>
        </w:rPr>
      </w:pPr>
      <w:r w:rsidRPr="004E385D">
        <w:rPr>
          <w:rFonts w:ascii="Arial" w:hAnsi="Arial" w:cs="Arial"/>
          <w:sz w:val="20"/>
          <w:szCs w:val="20"/>
          <w:u w:val="single"/>
        </w:rPr>
        <w:t xml:space="preserve">Zajištění vydání stavebního povolení: </w:t>
      </w:r>
    </w:p>
    <w:p w:rsidR="004E385D" w:rsidRPr="004E385D" w:rsidRDefault="004E385D" w:rsidP="004E385D">
      <w:pPr>
        <w:tabs>
          <w:tab w:val="num" w:pos="-1560"/>
        </w:tabs>
        <w:spacing w:after="120" w:line="240" w:lineRule="auto"/>
        <w:jc w:val="both"/>
        <w:rPr>
          <w:rFonts w:ascii="Arial" w:hAnsi="Arial" w:cs="Arial"/>
          <w:bCs/>
          <w:sz w:val="20"/>
          <w:szCs w:val="20"/>
        </w:rPr>
      </w:pPr>
      <w:r w:rsidRPr="004E385D">
        <w:rPr>
          <w:rFonts w:ascii="Arial" w:hAnsi="Arial" w:cs="Arial"/>
          <w:bCs/>
          <w:sz w:val="20"/>
          <w:szCs w:val="20"/>
        </w:rPr>
        <w:t>Zpracování žádosti o vydání SP včetně všech požadovaných příloh, vyjádření a stanovisek a podání řádné žádosti k příslušnému stavebnímu úřadu dle jednotlivých stavebních objektů a příslušnosti k úřadu, který stavební objekty povoluje. Zapracování případných požadovaných změn do DSP.</w:t>
      </w:r>
    </w:p>
    <w:p w:rsidR="004E385D" w:rsidRPr="004E385D" w:rsidRDefault="004E385D" w:rsidP="004E385D">
      <w:pPr>
        <w:tabs>
          <w:tab w:val="num" w:pos="-1560"/>
        </w:tabs>
        <w:spacing w:after="120" w:line="240" w:lineRule="auto"/>
        <w:jc w:val="both"/>
        <w:rPr>
          <w:rFonts w:ascii="Arial" w:hAnsi="Arial" w:cs="Arial"/>
          <w:bCs/>
          <w:sz w:val="20"/>
          <w:szCs w:val="20"/>
        </w:rPr>
      </w:pPr>
      <w:r w:rsidRPr="004E385D">
        <w:rPr>
          <w:rFonts w:ascii="Arial" w:hAnsi="Arial" w:cs="Arial"/>
          <w:bCs/>
          <w:sz w:val="20"/>
          <w:szCs w:val="20"/>
        </w:rPr>
        <w:t>Před podáním žádosti na příslušný stavební úřad, je zhotovitel povinen odsouhlasit si tuto žádost včetně všech příloh se zástupci zadavatele.</w:t>
      </w:r>
    </w:p>
    <w:p w:rsidR="004E385D" w:rsidRPr="004E385D" w:rsidRDefault="004E385D" w:rsidP="004E385D">
      <w:pPr>
        <w:tabs>
          <w:tab w:val="num" w:pos="-1560"/>
        </w:tabs>
        <w:spacing w:after="120" w:line="240" w:lineRule="auto"/>
        <w:jc w:val="both"/>
        <w:rPr>
          <w:rFonts w:ascii="Arial" w:hAnsi="Arial" w:cs="Arial"/>
          <w:bCs/>
          <w:sz w:val="20"/>
          <w:szCs w:val="20"/>
        </w:rPr>
      </w:pPr>
      <w:r w:rsidRPr="004E385D">
        <w:rPr>
          <w:rFonts w:ascii="Arial" w:hAnsi="Arial" w:cs="Arial"/>
          <w:bCs/>
          <w:sz w:val="20"/>
          <w:szCs w:val="20"/>
        </w:rPr>
        <w:t xml:space="preserve">Pravomocné stavební povolení bude předáno zadavateli: </w:t>
      </w:r>
    </w:p>
    <w:p w:rsidR="004E385D" w:rsidRPr="004E385D" w:rsidRDefault="004E385D" w:rsidP="004E385D">
      <w:pPr>
        <w:numPr>
          <w:ilvl w:val="0"/>
          <w:numId w:val="23"/>
        </w:numPr>
        <w:tabs>
          <w:tab w:val="clear" w:pos="360"/>
        </w:tabs>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E385D">
        <w:rPr>
          <w:rFonts w:ascii="Arial" w:hAnsi="Arial" w:cs="Arial"/>
          <w:sz w:val="20"/>
          <w:szCs w:val="20"/>
        </w:rPr>
        <w:t>1x originál SP v písemné podobě s vyznačením nabytí právní moci + projektová dokumentace DSP ověřená stavebním úřadem</w:t>
      </w:r>
    </w:p>
    <w:p w:rsidR="004E385D" w:rsidRDefault="004E385D" w:rsidP="004E385D">
      <w:pPr>
        <w:overflowPunct w:val="0"/>
        <w:autoSpaceDE w:val="0"/>
        <w:autoSpaceDN w:val="0"/>
        <w:adjustRightInd w:val="0"/>
        <w:spacing w:after="120" w:line="240" w:lineRule="auto"/>
        <w:ind w:left="426"/>
        <w:jc w:val="both"/>
        <w:textAlignment w:val="baseline"/>
        <w:rPr>
          <w:rFonts w:ascii="Arial" w:hAnsi="Arial" w:cs="Arial"/>
          <w:sz w:val="20"/>
          <w:szCs w:val="20"/>
        </w:rPr>
      </w:pPr>
    </w:p>
    <w:p w:rsidR="00156C16" w:rsidRPr="004E385D" w:rsidRDefault="00156C16" w:rsidP="004E385D">
      <w:pPr>
        <w:overflowPunct w:val="0"/>
        <w:autoSpaceDE w:val="0"/>
        <w:autoSpaceDN w:val="0"/>
        <w:adjustRightInd w:val="0"/>
        <w:spacing w:after="120" w:line="240" w:lineRule="auto"/>
        <w:ind w:left="426"/>
        <w:jc w:val="both"/>
        <w:textAlignment w:val="baseline"/>
        <w:rPr>
          <w:rFonts w:ascii="Arial" w:hAnsi="Arial" w:cs="Arial"/>
          <w:sz w:val="20"/>
          <w:szCs w:val="20"/>
        </w:rPr>
      </w:pPr>
      <w:bookmarkStart w:id="0" w:name="_GoBack"/>
      <w:bookmarkEnd w:id="0"/>
    </w:p>
    <w:p w:rsidR="004E385D" w:rsidRPr="004E385D" w:rsidRDefault="004E385D" w:rsidP="004E385D">
      <w:pPr>
        <w:overflowPunct w:val="0"/>
        <w:autoSpaceDE w:val="0"/>
        <w:autoSpaceDN w:val="0"/>
        <w:adjustRightInd w:val="0"/>
        <w:spacing w:after="120" w:line="240" w:lineRule="auto"/>
        <w:jc w:val="both"/>
        <w:textAlignment w:val="baseline"/>
        <w:rPr>
          <w:rFonts w:ascii="Arial" w:hAnsi="Arial" w:cs="Arial"/>
          <w:sz w:val="20"/>
          <w:szCs w:val="20"/>
          <w:u w:val="single"/>
        </w:rPr>
      </w:pPr>
      <w:r w:rsidRPr="004E385D">
        <w:rPr>
          <w:rFonts w:ascii="Arial" w:hAnsi="Arial" w:cs="Arial"/>
          <w:sz w:val="20"/>
          <w:szCs w:val="20"/>
          <w:u w:val="single"/>
        </w:rPr>
        <w:lastRenderedPageBreak/>
        <w:t>Výkon autorského dozoru</w:t>
      </w:r>
    </w:p>
    <w:p w:rsidR="004E385D" w:rsidRPr="004E385D" w:rsidRDefault="004E385D" w:rsidP="004E385D">
      <w:pPr>
        <w:pStyle w:val="Zkladntextodsazen21"/>
        <w:spacing w:after="120"/>
        <w:ind w:left="0" w:firstLine="0"/>
        <w:rPr>
          <w:rFonts w:ascii="Arial" w:hAnsi="Arial" w:cs="Arial"/>
          <w:sz w:val="20"/>
        </w:rPr>
      </w:pPr>
      <w:r w:rsidRPr="004E385D">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4E385D" w:rsidRPr="004E385D" w:rsidRDefault="004E385D" w:rsidP="004E385D">
      <w:pPr>
        <w:pStyle w:val="Zkladntextodsazen21"/>
        <w:spacing w:after="120"/>
        <w:ind w:left="0" w:firstLine="0"/>
        <w:rPr>
          <w:rFonts w:ascii="Arial" w:hAnsi="Arial" w:cs="Arial"/>
          <w:sz w:val="20"/>
        </w:rPr>
      </w:pPr>
      <w:r w:rsidRPr="004E385D">
        <w:rPr>
          <w:rFonts w:ascii="Arial" w:hAnsi="Arial" w:cs="Arial"/>
          <w:sz w:val="20"/>
        </w:rPr>
        <w:t>Zhotovitel je povinen při plnění AD poskytnout svoji součinnost vždy bezodkladně poté, kdy bude k tomu objednatelem vyzván nebo poté, kdy takovou potřebu sám zjistí.</w:t>
      </w:r>
    </w:p>
    <w:p w:rsidR="004E385D" w:rsidRPr="004E385D" w:rsidRDefault="004E385D" w:rsidP="004E385D">
      <w:pPr>
        <w:pStyle w:val="Zkladntextodsazen21"/>
        <w:spacing w:after="120"/>
        <w:ind w:left="0" w:firstLine="0"/>
        <w:rPr>
          <w:rFonts w:ascii="Arial" w:hAnsi="Arial" w:cs="Arial"/>
          <w:sz w:val="20"/>
        </w:rPr>
      </w:pPr>
    </w:p>
    <w:p w:rsidR="004E385D" w:rsidRPr="004E385D" w:rsidRDefault="004E385D" w:rsidP="004E385D">
      <w:pPr>
        <w:pStyle w:val="Zkladntextodsazen21"/>
        <w:spacing w:after="120"/>
        <w:ind w:left="0" w:firstLine="0"/>
        <w:rPr>
          <w:rFonts w:ascii="Arial" w:hAnsi="Arial" w:cs="Arial"/>
          <w:sz w:val="20"/>
        </w:rPr>
      </w:pPr>
      <w:r w:rsidRPr="004E385D">
        <w:rPr>
          <w:rFonts w:ascii="Arial" w:hAnsi="Arial" w:cs="Arial"/>
          <w:sz w:val="20"/>
        </w:rPr>
        <w:t>Předmětem výkonu AD je především:</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účastnit se předání staveniště dodavateli</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dohled nad realizací díla</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kontrola dodržování projektové dokumentace s přihlédnutím na podmínky určené stavebním povolením, souhlasem stavebního úřadu, případně nařízením nezbytných stavebních úprav</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posuzování postupu výstavby z technického hlediska a z hlediska časového plánu výstavby</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sledování a kontrola technických a kvalitativních parametrů stavby</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řešit drobné odchylky od projektu, které nebudou vyžadovat zpracování nového projektu případně jeho části nebo dodatku projektové dokumentace</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 xml:space="preserve">posuzovat návrhy objednatele stavby na změny a odchylky v částech projektů zpracovávaných v rámci realizační dokumentace z pohledu dodržení </w:t>
      </w:r>
      <w:proofErr w:type="spellStart"/>
      <w:r w:rsidRPr="004E385D">
        <w:rPr>
          <w:rFonts w:ascii="Arial" w:hAnsi="Arial" w:cs="Arial"/>
          <w:sz w:val="20"/>
          <w:szCs w:val="20"/>
        </w:rPr>
        <w:t>technicko-ekonomických</w:t>
      </w:r>
      <w:proofErr w:type="spellEnd"/>
      <w:r w:rsidRPr="004E385D">
        <w:rPr>
          <w:rFonts w:ascii="Arial" w:hAnsi="Arial" w:cs="Arial"/>
          <w:sz w:val="20"/>
          <w:szCs w:val="20"/>
        </w:rPr>
        <w:t xml:space="preserve"> parametrů, dodržení lhůt výstavby, případně dalších údajů a ukazatelů</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vyjádření k požadavkům na zvětšený rozsah stavebních prací a dodávek materiálu oproti projektové dokumentaci</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 xml:space="preserve">účast na kontrolních dnech stavby </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 xml:space="preserve">účast na přejímacím řízení stavby a jejích dílčích částech, případné kolaudaci stavby a řádně spolupracovat při těchto řízeních </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provádění projekčních prací menšího rozsahu (doplňky a změny)</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poskytovat technické konzultace potřebné pro plynulost výstavby</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konzultovat a podávat upřesnění při vypracování realizační dokumentace</w:t>
      </w:r>
    </w:p>
    <w:p w:rsidR="004E385D" w:rsidRPr="004E385D" w:rsidRDefault="004E385D" w:rsidP="004E385D">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E385D">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4E385D" w:rsidRPr="004E385D" w:rsidRDefault="004E385D" w:rsidP="004E385D">
      <w:pPr>
        <w:pStyle w:val="Zkladntextodsazen21"/>
        <w:tabs>
          <w:tab w:val="left" w:pos="567"/>
        </w:tabs>
        <w:spacing w:after="120"/>
        <w:ind w:left="0" w:firstLine="0"/>
        <w:rPr>
          <w:rFonts w:ascii="Arial" w:hAnsi="Arial" w:cs="Arial"/>
          <w:iCs/>
          <w:sz w:val="20"/>
        </w:rPr>
      </w:pPr>
      <w:r w:rsidRPr="004E385D">
        <w:rPr>
          <w:rFonts w:ascii="Arial" w:hAnsi="Arial" w:cs="Arial"/>
          <w:iCs/>
          <w:sz w:val="20"/>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4E385D" w:rsidRPr="004E385D" w:rsidRDefault="004E385D" w:rsidP="004E385D">
      <w:pPr>
        <w:pStyle w:val="Zkladntextodsazen21"/>
        <w:tabs>
          <w:tab w:val="left" w:pos="567"/>
        </w:tabs>
        <w:spacing w:after="120"/>
        <w:ind w:left="0" w:firstLine="0"/>
        <w:rPr>
          <w:rFonts w:ascii="Arial" w:hAnsi="Arial" w:cs="Arial"/>
          <w:sz w:val="20"/>
        </w:rPr>
      </w:pPr>
      <w:r w:rsidRPr="004E385D">
        <w:rPr>
          <w:rFonts w:ascii="Arial" w:hAnsi="Arial" w:cs="Arial"/>
          <w:sz w:val="20"/>
        </w:rPr>
        <w:t>AD bude vykonáván na vyžádání ze strany objednatele. Předmět, termín a místo výkonu AD budou dohodnuty vždy individuálně při každé výzvě objednatele.</w:t>
      </w:r>
    </w:p>
    <w:p w:rsidR="004E385D" w:rsidRPr="004E385D" w:rsidRDefault="004E385D" w:rsidP="004E385D">
      <w:pPr>
        <w:spacing w:after="120" w:line="240" w:lineRule="auto"/>
        <w:jc w:val="both"/>
        <w:rPr>
          <w:rFonts w:ascii="Arial" w:hAnsi="Arial" w:cs="Arial"/>
          <w:b/>
          <w:sz w:val="20"/>
          <w:szCs w:val="20"/>
          <w:u w:val="single"/>
        </w:rPr>
      </w:pPr>
    </w:p>
    <w:p w:rsidR="004E385D" w:rsidRPr="004E385D" w:rsidRDefault="004E385D" w:rsidP="004E385D">
      <w:pPr>
        <w:spacing w:after="120" w:line="240" w:lineRule="auto"/>
        <w:jc w:val="both"/>
        <w:rPr>
          <w:rFonts w:ascii="Arial" w:hAnsi="Arial" w:cs="Arial"/>
          <w:b/>
          <w:sz w:val="20"/>
          <w:szCs w:val="20"/>
          <w:u w:val="single"/>
        </w:rPr>
      </w:pPr>
      <w:r w:rsidRPr="004E385D">
        <w:rPr>
          <w:rFonts w:ascii="Arial" w:hAnsi="Arial" w:cs="Arial"/>
          <w:b/>
          <w:sz w:val="20"/>
          <w:szCs w:val="20"/>
          <w:u w:val="single"/>
        </w:rPr>
        <w:t>Místo plnění/realizace</w:t>
      </w:r>
    </w:p>
    <w:p w:rsidR="004E385D" w:rsidRPr="004E385D" w:rsidRDefault="004E385D" w:rsidP="004E385D">
      <w:pPr>
        <w:spacing w:after="120" w:line="240" w:lineRule="auto"/>
        <w:jc w:val="both"/>
        <w:rPr>
          <w:rFonts w:ascii="Arial" w:hAnsi="Arial" w:cs="Arial"/>
          <w:sz w:val="20"/>
          <w:szCs w:val="20"/>
        </w:rPr>
      </w:pPr>
      <w:r w:rsidRPr="004E385D">
        <w:rPr>
          <w:rFonts w:ascii="Arial" w:hAnsi="Arial" w:cs="Arial"/>
          <w:sz w:val="20"/>
          <w:szCs w:val="20"/>
        </w:rPr>
        <w:t xml:space="preserve">Místo stavby – Kraj Vysočina, okres Jihlava, k. </w:t>
      </w:r>
      <w:proofErr w:type="spellStart"/>
      <w:r w:rsidRPr="004E385D">
        <w:rPr>
          <w:rFonts w:ascii="Arial" w:hAnsi="Arial" w:cs="Arial"/>
          <w:sz w:val="20"/>
          <w:szCs w:val="20"/>
        </w:rPr>
        <w:t>ú.</w:t>
      </w:r>
      <w:proofErr w:type="spellEnd"/>
      <w:r w:rsidRPr="004E385D">
        <w:rPr>
          <w:rFonts w:ascii="Arial" w:hAnsi="Arial" w:cs="Arial"/>
          <w:sz w:val="20"/>
          <w:szCs w:val="20"/>
        </w:rPr>
        <w:t xml:space="preserve"> Rančířov</w:t>
      </w:r>
    </w:p>
    <w:p w:rsidR="004E385D" w:rsidRPr="004E385D" w:rsidRDefault="004E385D" w:rsidP="004E385D">
      <w:pPr>
        <w:spacing w:after="120" w:line="240" w:lineRule="auto"/>
        <w:jc w:val="both"/>
        <w:rPr>
          <w:rFonts w:ascii="Arial" w:hAnsi="Arial" w:cs="Arial"/>
          <w:sz w:val="20"/>
          <w:szCs w:val="20"/>
        </w:rPr>
      </w:pPr>
    </w:p>
    <w:p w:rsidR="004E385D" w:rsidRPr="004E385D" w:rsidRDefault="004E385D" w:rsidP="004E385D">
      <w:pPr>
        <w:spacing w:after="120" w:line="240" w:lineRule="auto"/>
        <w:jc w:val="both"/>
        <w:rPr>
          <w:rFonts w:ascii="Arial" w:hAnsi="Arial" w:cs="Arial"/>
          <w:b/>
          <w:sz w:val="20"/>
          <w:szCs w:val="20"/>
          <w:u w:val="single"/>
        </w:rPr>
      </w:pPr>
      <w:r w:rsidRPr="004E385D">
        <w:rPr>
          <w:rFonts w:ascii="Arial" w:hAnsi="Arial" w:cs="Arial"/>
          <w:b/>
          <w:sz w:val="20"/>
          <w:szCs w:val="20"/>
          <w:u w:val="single"/>
        </w:rPr>
        <w:t>Veřejný provoz</w:t>
      </w:r>
    </w:p>
    <w:p w:rsidR="004E385D" w:rsidRPr="004E385D" w:rsidRDefault="004E385D" w:rsidP="004E385D">
      <w:pPr>
        <w:spacing w:after="120" w:line="240" w:lineRule="auto"/>
        <w:jc w:val="both"/>
        <w:rPr>
          <w:rFonts w:ascii="Arial" w:hAnsi="Arial" w:cs="Arial"/>
          <w:sz w:val="20"/>
          <w:szCs w:val="20"/>
        </w:rPr>
      </w:pPr>
      <w:r w:rsidRPr="004E385D">
        <w:rPr>
          <w:rFonts w:ascii="Arial" w:hAnsi="Arial" w:cs="Arial"/>
          <w:sz w:val="20"/>
          <w:szCs w:val="20"/>
        </w:rPr>
        <w:t>Zadavatel předpokládá, že projektovaná oprava bude probíhat za úplné uzavírky silničního provozu.</w:t>
      </w:r>
    </w:p>
    <w:p w:rsidR="004E385D" w:rsidRPr="004E385D" w:rsidRDefault="004E385D" w:rsidP="004E385D">
      <w:pPr>
        <w:spacing w:after="120" w:line="240" w:lineRule="auto"/>
        <w:jc w:val="both"/>
        <w:rPr>
          <w:rFonts w:ascii="Arial" w:hAnsi="Arial" w:cs="Arial"/>
          <w:sz w:val="20"/>
          <w:szCs w:val="20"/>
        </w:rPr>
      </w:pPr>
    </w:p>
    <w:p w:rsidR="004E385D" w:rsidRPr="004E385D" w:rsidRDefault="004E385D" w:rsidP="004E385D">
      <w:pPr>
        <w:spacing w:after="120" w:line="240" w:lineRule="auto"/>
        <w:jc w:val="both"/>
        <w:rPr>
          <w:rFonts w:ascii="Arial" w:hAnsi="Arial" w:cs="Arial"/>
          <w:b/>
          <w:sz w:val="20"/>
          <w:szCs w:val="20"/>
          <w:u w:val="single"/>
        </w:rPr>
      </w:pPr>
      <w:r w:rsidRPr="004E385D">
        <w:rPr>
          <w:rFonts w:ascii="Arial" w:hAnsi="Arial" w:cs="Arial"/>
          <w:b/>
          <w:sz w:val="20"/>
          <w:szCs w:val="20"/>
          <w:u w:val="single"/>
        </w:rPr>
        <w:t>Seznam poskytnutých podkladů</w:t>
      </w:r>
    </w:p>
    <w:p w:rsidR="004E385D" w:rsidRPr="004E385D" w:rsidRDefault="004E385D" w:rsidP="004E385D">
      <w:pPr>
        <w:pStyle w:val="Odstavecseseznamem"/>
        <w:numPr>
          <w:ilvl w:val="0"/>
          <w:numId w:val="26"/>
        </w:numPr>
        <w:spacing w:after="120" w:line="240" w:lineRule="auto"/>
        <w:ind w:left="426" w:hanging="426"/>
        <w:jc w:val="both"/>
        <w:rPr>
          <w:rFonts w:ascii="Arial" w:hAnsi="Arial" w:cs="Arial"/>
          <w:sz w:val="20"/>
          <w:szCs w:val="20"/>
        </w:rPr>
      </w:pPr>
      <w:r w:rsidRPr="004E385D">
        <w:rPr>
          <w:rFonts w:ascii="Arial" w:hAnsi="Arial" w:cs="Arial"/>
          <w:sz w:val="20"/>
          <w:szCs w:val="20"/>
        </w:rPr>
        <w:t>Přehledná situace</w:t>
      </w:r>
    </w:p>
    <w:p w:rsidR="004E385D" w:rsidRPr="004E385D" w:rsidRDefault="004E385D" w:rsidP="004E385D">
      <w:pPr>
        <w:pStyle w:val="Odstavecseseznamem"/>
        <w:numPr>
          <w:ilvl w:val="0"/>
          <w:numId w:val="26"/>
        </w:numPr>
        <w:spacing w:after="120" w:line="240" w:lineRule="auto"/>
        <w:ind w:left="426" w:hanging="426"/>
        <w:jc w:val="both"/>
        <w:rPr>
          <w:rFonts w:ascii="Arial" w:hAnsi="Arial" w:cs="Arial"/>
          <w:sz w:val="20"/>
          <w:szCs w:val="20"/>
        </w:rPr>
      </w:pPr>
      <w:r w:rsidRPr="004E385D">
        <w:rPr>
          <w:rFonts w:ascii="Arial" w:hAnsi="Arial" w:cs="Arial"/>
          <w:sz w:val="20"/>
          <w:szCs w:val="20"/>
        </w:rPr>
        <w:t>Mostní list a poslední hlavní mostní prohlídka</w:t>
      </w:r>
    </w:p>
    <w:p w:rsidR="004E385D" w:rsidRPr="004E385D" w:rsidRDefault="004E385D" w:rsidP="004E385D">
      <w:pPr>
        <w:pStyle w:val="Odstavecseseznamem"/>
        <w:numPr>
          <w:ilvl w:val="0"/>
          <w:numId w:val="26"/>
        </w:numPr>
        <w:spacing w:after="120" w:line="240" w:lineRule="auto"/>
        <w:ind w:left="426" w:hanging="426"/>
        <w:jc w:val="both"/>
        <w:rPr>
          <w:rFonts w:ascii="Arial" w:hAnsi="Arial" w:cs="Arial"/>
          <w:sz w:val="20"/>
          <w:szCs w:val="20"/>
        </w:rPr>
      </w:pPr>
      <w:r w:rsidRPr="004E385D">
        <w:rPr>
          <w:rFonts w:ascii="Arial" w:hAnsi="Arial" w:cs="Arial"/>
          <w:sz w:val="20"/>
          <w:szCs w:val="20"/>
        </w:rPr>
        <w:t>Diagnostický průzkum</w:t>
      </w:r>
    </w:p>
    <w:p w:rsidR="004E385D" w:rsidRPr="004E385D" w:rsidRDefault="004E385D" w:rsidP="004E385D">
      <w:pPr>
        <w:overflowPunct w:val="0"/>
        <w:autoSpaceDE w:val="0"/>
        <w:autoSpaceDN w:val="0"/>
        <w:adjustRightInd w:val="0"/>
        <w:spacing w:before="240" w:after="120" w:line="240" w:lineRule="auto"/>
        <w:textAlignment w:val="baseline"/>
        <w:rPr>
          <w:rFonts w:ascii="Arial" w:eastAsia="Times New Roman" w:hAnsi="Arial" w:cs="Arial"/>
          <w:sz w:val="20"/>
          <w:szCs w:val="20"/>
          <w:lang w:eastAsia="cs-CZ"/>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245"/>
      </w:tblGrid>
      <w:tr w:rsidR="004E385D" w:rsidRPr="004E385D" w:rsidTr="00C24D05">
        <w:trPr>
          <w:trHeight w:val="583"/>
        </w:trPr>
        <w:tc>
          <w:tcPr>
            <w:tcW w:w="9606" w:type="dxa"/>
            <w:gridSpan w:val="2"/>
            <w:shd w:val="clear" w:color="auto" w:fill="FFF2CC"/>
          </w:tcPr>
          <w:p w:rsidR="004E385D" w:rsidRPr="004E385D" w:rsidRDefault="004E385D" w:rsidP="00C24D05">
            <w:pPr>
              <w:overflowPunct w:val="0"/>
              <w:autoSpaceDE w:val="0"/>
              <w:autoSpaceDN w:val="0"/>
              <w:adjustRightInd w:val="0"/>
              <w:spacing w:after="120" w:line="240" w:lineRule="auto"/>
              <w:contextualSpacing/>
              <w:jc w:val="center"/>
              <w:textAlignment w:val="baseline"/>
              <w:rPr>
                <w:rFonts w:ascii="Arial" w:eastAsia="Times New Roman" w:hAnsi="Arial" w:cs="Arial"/>
                <w:sz w:val="20"/>
                <w:szCs w:val="20"/>
                <w:lang w:eastAsia="cs-CZ"/>
              </w:rPr>
            </w:pPr>
            <w:r w:rsidRPr="004E385D">
              <w:rPr>
                <w:rFonts w:ascii="Arial" w:hAnsi="Arial" w:cs="Arial"/>
                <w:b/>
                <w:sz w:val="20"/>
                <w:szCs w:val="20"/>
                <w:u w:val="single"/>
              </w:rPr>
              <w:lastRenderedPageBreak/>
              <w:t>Lhůty plnění</w:t>
            </w:r>
          </w:p>
        </w:tc>
      </w:tr>
      <w:tr w:rsidR="004E385D" w:rsidRPr="004E385D" w:rsidTr="00C24D05">
        <w:tc>
          <w:tcPr>
            <w:tcW w:w="4361"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Zahájení realizace:</w:t>
            </w:r>
          </w:p>
        </w:tc>
        <w:tc>
          <w:tcPr>
            <w:tcW w:w="5245"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ihned po nabytí účinnosti smlouvy</w:t>
            </w:r>
          </w:p>
        </w:tc>
      </w:tr>
      <w:tr w:rsidR="004E385D" w:rsidRPr="004E385D" w:rsidTr="00C24D05">
        <w:tc>
          <w:tcPr>
            <w:tcW w:w="4361"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hAnsi="Arial" w:cs="Arial"/>
                <w:bCs/>
                <w:sz w:val="20"/>
                <w:szCs w:val="20"/>
              </w:rPr>
              <w:t>N</w:t>
            </w:r>
            <w:r w:rsidRPr="004E385D">
              <w:rPr>
                <w:rFonts w:ascii="Arial" w:eastAsia="Times New Roman" w:hAnsi="Arial" w:cs="Arial"/>
                <w:sz w:val="20"/>
                <w:szCs w:val="20"/>
              </w:rPr>
              <w:t>ávrh technického řešení:</w:t>
            </w:r>
          </w:p>
        </w:tc>
        <w:tc>
          <w:tcPr>
            <w:tcW w:w="5245"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 xml:space="preserve">do 30 dnů od nabytí účinnosti smlouvy </w:t>
            </w:r>
          </w:p>
        </w:tc>
      </w:tr>
      <w:tr w:rsidR="004E385D" w:rsidRPr="004E385D" w:rsidTr="00C24D05">
        <w:trPr>
          <w:trHeight w:val="237"/>
        </w:trPr>
        <w:tc>
          <w:tcPr>
            <w:tcW w:w="4361"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Koncept dokumentace DSP:</w:t>
            </w:r>
          </w:p>
        </w:tc>
        <w:tc>
          <w:tcPr>
            <w:tcW w:w="5245"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do 60 dnů od návrhu technického řešení</w:t>
            </w:r>
          </w:p>
        </w:tc>
      </w:tr>
      <w:tr w:rsidR="004E385D" w:rsidRPr="004E385D" w:rsidTr="00C24D05">
        <w:tc>
          <w:tcPr>
            <w:tcW w:w="4361"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Dokumentace DSP včetně projednání s dotčenými orgány státní správy a samosprávy</w:t>
            </w:r>
          </w:p>
        </w:tc>
        <w:tc>
          <w:tcPr>
            <w:tcW w:w="5245"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do 60 dnů od předání konceptu DSP</w:t>
            </w:r>
          </w:p>
        </w:tc>
      </w:tr>
      <w:tr w:rsidR="004E385D" w:rsidRPr="004E385D" w:rsidTr="00C24D05">
        <w:tc>
          <w:tcPr>
            <w:tcW w:w="4361"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Podání žádosti o vydání SP</w:t>
            </w:r>
          </w:p>
        </w:tc>
        <w:tc>
          <w:tcPr>
            <w:tcW w:w="5245"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do 15 dnů od předání čistopisu DSP</w:t>
            </w:r>
          </w:p>
        </w:tc>
      </w:tr>
      <w:tr w:rsidR="004E385D" w:rsidRPr="004E385D" w:rsidTr="00C24D05">
        <w:tc>
          <w:tcPr>
            <w:tcW w:w="4361"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rPr>
            </w:pPr>
            <w:r w:rsidRPr="004E385D">
              <w:rPr>
                <w:rFonts w:ascii="Arial" w:eastAsia="Times New Roman" w:hAnsi="Arial" w:cs="Arial"/>
                <w:sz w:val="20"/>
                <w:szCs w:val="20"/>
              </w:rPr>
              <w:t>Dokumentace PDPS</w:t>
            </w:r>
          </w:p>
        </w:tc>
        <w:tc>
          <w:tcPr>
            <w:tcW w:w="5245"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do 30 dnů od vydání nepravomocného SP</w:t>
            </w:r>
          </w:p>
        </w:tc>
      </w:tr>
      <w:tr w:rsidR="004E385D" w:rsidRPr="004E385D" w:rsidTr="00C24D05">
        <w:tc>
          <w:tcPr>
            <w:tcW w:w="4361"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rPr>
              <w:t>Předpoklad zahájení výkonu autorského dozoru:</w:t>
            </w:r>
          </w:p>
        </w:tc>
        <w:tc>
          <w:tcPr>
            <w:tcW w:w="5245" w:type="dxa"/>
            <w:shd w:val="clear" w:color="auto" w:fill="auto"/>
          </w:tcPr>
          <w:p w:rsidR="004E385D" w:rsidRPr="004E385D" w:rsidRDefault="004E385D" w:rsidP="00C24D05">
            <w:pPr>
              <w:overflowPunct w:val="0"/>
              <w:autoSpaceDE w:val="0"/>
              <w:autoSpaceDN w:val="0"/>
              <w:adjustRightInd w:val="0"/>
              <w:spacing w:after="120" w:line="240" w:lineRule="auto"/>
              <w:contextualSpacing/>
              <w:jc w:val="both"/>
              <w:textAlignment w:val="baseline"/>
              <w:rPr>
                <w:rFonts w:ascii="Arial" w:eastAsia="Times New Roman" w:hAnsi="Arial" w:cs="Arial"/>
                <w:sz w:val="20"/>
                <w:szCs w:val="20"/>
                <w:lang w:eastAsia="cs-CZ"/>
              </w:rPr>
            </w:pPr>
            <w:r w:rsidRPr="004E385D">
              <w:rPr>
                <w:rFonts w:ascii="Arial" w:eastAsia="Times New Roman" w:hAnsi="Arial" w:cs="Arial"/>
                <w:sz w:val="20"/>
                <w:szCs w:val="20"/>
                <w:lang w:eastAsia="cs-CZ"/>
              </w:rPr>
              <w:t>do 36 měsíců od vydání pravomocného SP</w:t>
            </w:r>
          </w:p>
        </w:tc>
      </w:tr>
    </w:tbl>
    <w:p w:rsidR="004E385D" w:rsidRPr="004E385D" w:rsidRDefault="004E385D" w:rsidP="004E385D">
      <w:pPr>
        <w:overflowPunct w:val="0"/>
        <w:autoSpaceDE w:val="0"/>
        <w:autoSpaceDN w:val="0"/>
        <w:adjustRightInd w:val="0"/>
        <w:spacing w:before="240" w:after="120" w:line="240" w:lineRule="auto"/>
        <w:textAlignment w:val="baseline"/>
        <w:rPr>
          <w:rFonts w:ascii="Arial" w:eastAsia="Times New Roman" w:hAnsi="Arial" w:cs="Arial"/>
          <w:color w:val="FF0000"/>
          <w:sz w:val="20"/>
          <w:szCs w:val="20"/>
          <w:lang w:eastAsia="cs-CZ"/>
        </w:rPr>
      </w:pPr>
    </w:p>
    <w:p w:rsidR="00B545BC" w:rsidRPr="004E385D" w:rsidRDefault="00B545BC" w:rsidP="002715B4">
      <w:pPr>
        <w:tabs>
          <w:tab w:val="left" w:pos="1134"/>
        </w:tabs>
        <w:spacing w:after="0" w:line="240" w:lineRule="auto"/>
        <w:rPr>
          <w:rFonts w:ascii="Arial" w:hAnsi="Arial" w:cs="Arial"/>
          <w:b/>
          <w:sz w:val="20"/>
          <w:szCs w:val="20"/>
        </w:rPr>
      </w:pPr>
    </w:p>
    <w:sectPr w:rsidR="00B545BC" w:rsidRPr="004E385D" w:rsidSect="004F4618">
      <w:headerReference w:type="default" r:id="rId7"/>
      <w:footerReference w:type="default" r:id="rId8"/>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0B" w:rsidRDefault="0088350B" w:rsidP="00033EC2">
      <w:pPr>
        <w:spacing w:after="0" w:line="240" w:lineRule="auto"/>
      </w:pPr>
      <w:r>
        <w:separator/>
      </w:r>
    </w:p>
  </w:endnote>
  <w:endnote w:type="continuationSeparator" w:id="0">
    <w:p w:rsidR="0088350B" w:rsidRDefault="0088350B"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156C16">
      <w:rPr>
        <w:rFonts w:ascii="Arial" w:hAnsi="Arial" w:cs="Arial"/>
        <w:b/>
        <w:noProof/>
        <w:sz w:val="16"/>
        <w:szCs w:val="16"/>
      </w:rPr>
      <w:t>4</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156C16">
      <w:rPr>
        <w:rFonts w:ascii="Arial" w:hAnsi="Arial" w:cs="Arial"/>
        <w:b/>
        <w:noProof/>
        <w:sz w:val="16"/>
        <w:szCs w:val="16"/>
      </w:rPr>
      <w:t>5</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0B" w:rsidRDefault="0088350B" w:rsidP="00033EC2">
      <w:pPr>
        <w:spacing w:after="0" w:line="240" w:lineRule="auto"/>
      </w:pPr>
      <w:r>
        <w:separator/>
      </w:r>
    </w:p>
  </w:footnote>
  <w:footnote w:type="continuationSeparator" w:id="0">
    <w:p w:rsidR="0088350B" w:rsidRDefault="0088350B"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posOffset>0</wp:posOffset>
          </wp:positionH>
          <wp:positionV relativeFrom="margin">
            <wp:posOffset>-866775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671991"/>
    <w:multiLevelType w:val="hybridMultilevel"/>
    <w:tmpl w:val="1F3C996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F669AF"/>
    <w:multiLevelType w:val="hybridMultilevel"/>
    <w:tmpl w:val="3CCE22C4"/>
    <w:lvl w:ilvl="0" w:tplc="7310BDE2">
      <w:numFmt w:val="bullet"/>
      <w:lvlText w:val="-"/>
      <w:lvlJc w:val="left"/>
      <w:pPr>
        <w:ind w:left="720" w:hanging="360"/>
      </w:pPr>
      <w:rPr>
        <w:rFonts w:ascii="Times New Roman" w:eastAsia="Times New Roman" w:hAnsi="Times New Roman" w:cs="Times New Roman"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9"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0"/>
  </w:num>
  <w:num w:numId="4">
    <w:abstractNumId w:val="15"/>
  </w:num>
  <w:num w:numId="5">
    <w:abstractNumId w:val="10"/>
  </w:num>
  <w:num w:numId="6">
    <w:abstractNumId w:val="14"/>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3"/>
  </w:num>
  <w:num w:numId="15">
    <w:abstractNumId w:val="20"/>
  </w:num>
  <w:num w:numId="16">
    <w:abstractNumId w:val="2"/>
  </w:num>
  <w:num w:numId="17">
    <w:abstractNumId w:val="8"/>
  </w:num>
  <w:num w:numId="18">
    <w:abstractNumId w:val="24"/>
  </w:num>
  <w:num w:numId="19">
    <w:abstractNumId w:val="19"/>
  </w:num>
  <w:num w:numId="20">
    <w:abstractNumId w:val="17"/>
  </w:num>
  <w:num w:numId="21">
    <w:abstractNumId w:val="3"/>
  </w:num>
  <w:num w:numId="22">
    <w:abstractNumId w:val="21"/>
  </w:num>
  <w:num w:numId="23">
    <w:abstractNumId w:val="18"/>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3EC2"/>
    <w:rsid w:val="00077603"/>
    <w:rsid w:val="00091A0B"/>
    <w:rsid w:val="00105330"/>
    <w:rsid w:val="001310C6"/>
    <w:rsid w:val="00143858"/>
    <w:rsid w:val="00150F88"/>
    <w:rsid w:val="00156C16"/>
    <w:rsid w:val="0016103B"/>
    <w:rsid w:val="00172C17"/>
    <w:rsid w:val="00174D7F"/>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715B4"/>
    <w:rsid w:val="002819DD"/>
    <w:rsid w:val="00294439"/>
    <w:rsid w:val="002A2808"/>
    <w:rsid w:val="002A70F8"/>
    <w:rsid w:val="002D116F"/>
    <w:rsid w:val="002D2AC8"/>
    <w:rsid w:val="00322187"/>
    <w:rsid w:val="00335791"/>
    <w:rsid w:val="003634A2"/>
    <w:rsid w:val="003A6635"/>
    <w:rsid w:val="003B523E"/>
    <w:rsid w:val="003C0016"/>
    <w:rsid w:val="003D36F1"/>
    <w:rsid w:val="00405F21"/>
    <w:rsid w:val="00413BFA"/>
    <w:rsid w:val="0043662A"/>
    <w:rsid w:val="00437E4E"/>
    <w:rsid w:val="00487EB6"/>
    <w:rsid w:val="004B2925"/>
    <w:rsid w:val="004B4D66"/>
    <w:rsid w:val="004C2E7C"/>
    <w:rsid w:val="004C3D34"/>
    <w:rsid w:val="004E26C7"/>
    <w:rsid w:val="004E385D"/>
    <w:rsid w:val="004F4618"/>
    <w:rsid w:val="005252AA"/>
    <w:rsid w:val="0052571B"/>
    <w:rsid w:val="005562DB"/>
    <w:rsid w:val="00575531"/>
    <w:rsid w:val="005875BA"/>
    <w:rsid w:val="005A2999"/>
    <w:rsid w:val="005E469A"/>
    <w:rsid w:val="005E59F4"/>
    <w:rsid w:val="00605337"/>
    <w:rsid w:val="0060692D"/>
    <w:rsid w:val="00627D75"/>
    <w:rsid w:val="00633927"/>
    <w:rsid w:val="00635E1D"/>
    <w:rsid w:val="00651DA9"/>
    <w:rsid w:val="00651F7A"/>
    <w:rsid w:val="00660B95"/>
    <w:rsid w:val="006916B1"/>
    <w:rsid w:val="006A0285"/>
    <w:rsid w:val="006A3AD9"/>
    <w:rsid w:val="00723546"/>
    <w:rsid w:val="007349F9"/>
    <w:rsid w:val="007524A0"/>
    <w:rsid w:val="00756EC0"/>
    <w:rsid w:val="0076591D"/>
    <w:rsid w:val="00771D72"/>
    <w:rsid w:val="00781C90"/>
    <w:rsid w:val="007D1374"/>
    <w:rsid w:val="007F411D"/>
    <w:rsid w:val="007F463F"/>
    <w:rsid w:val="008023D2"/>
    <w:rsid w:val="00817C5F"/>
    <w:rsid w:val="008209FA"/>
    <w:rsid w:val="00844B90"/>
    <w:rsid w:val="0085017D"/>
    <w:rsid w:val="008742AE"/>
    <w:rsid w:val="0088350B"/>
    <w:rsid w:val="00884EBA"/>
    <w:rsid w:val="008B37FB"/>
    <w:rsid w:val="008B5E8C"/>
    <w:rsid w:val="008D4372"/>
    <w:rsid w:val="008E5B75"/>
    <w:rsid w:val="008F1380"/>
    <w:rsid w:val="008F2428"/>
    <w:rsid w:val="00903D67"/>
    <w:rsid w:val="009153D3"/>
    <w:rsid w:val="009333EF"/>
    <w:rsid w:val="00946275"/>
    <w:rsid w:val="009470C5"/>
    <w:rsid w:val="00955CD4"/>
    <w:rsid w:val="00966055"/>
    <w:rsid w:val="00972FC3"/>
    <w:rsid w:val="00981014"/>
    <w:rsid w:val="009B0C47"/>
    <w:rsid w:val="009B37C8"/>
    <w:rsid w:val="009E5449"/>
    <w:rsid w:val="00A02A92"/>
    <w:rsid w:val="00A02C1A"/>
    <w:rsid w:val="00A111D2"/>
    <w:rsid w:val="00A258B6"/>
    <w:rsid w:val="00A44DF5"/>
    <w:rsid w:val="00A93CA0"/>
    <w:rsid w:val="00AA21EC"/>
    <w:rsid w:val="00AA42F6"/>
    <w:rsid w:val="00AA76D7"/>
    <w:rsid w:val="00AB286A"/>
    <w:rsid w:val="00AF5D3F"/>
    <w:rsid w:val="00B0273E"/>
    <w:rsid w:val="00B31119"/>
    <w:rsid w:val="00B3596C"/>
    <w:rsid w:val="00B41130"/>
    <w:rsid w:val="00B4147B"/>
    <w:rsid w:val="00B4322A"/>
    <w:rsid w:val="00B44286"/>
    <w:rsid w:val="00B545BC"/>
    <w:rsid w:val="00B64492"/>
    <w:rsid w:val="00B72CB0"/>
    <w:rsid w:val="00BD08E8"/>
    <w:rsid w:val="00BE3B79"/>
    <w:rsid w:val="00C040A0"/>
    <w:rsid w:val="00C0508D"/>
    <w:rsid w:val="00C34F5B"/>
    <w:rsid w:val="00C52667"/>
    <w:rsid w:val="00C65520"/>
    <w:rsid w:val="00CB1CE3"/>
    <w:rsid w:val="00CF3EA0"/>
    <w:rsid w:val="00D1051F"/>
    <w:rsid w:val="00D21DBE"/>
    <w:rsid w:val="00D24A4F"/>
    <w:rsid w:val="00D674D6"/>
    <w:rsid w:val="00D83014"/>
    <w:rsid w:val="00DA5742"/>
    <w:rsid w:val="00E02F34"/>
    <w:rsid w:val="00E12753"/>
    <w:rsid w:val="00E26473"/>
    <w:rsid w:val="00E336FE"/>
    <w:rsid w:val="00E36ADA"/>
    <w:rsid w:val="00EA03AD"/>
    <w:rsid w:val="00EC5DCC"/>
    <w:rsid w:val="00ED28F8"/>
    <w:rsid w:val="00ED43D1"/>
    <w:rsid w:val="00EE2E2A"/>
    <w:rsid w:val="00F11900"/>
    <w:rsid w:val="00F15CA5"/>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5</Pages>
  <Words>1922</Words>
  <Characters>11341</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28</cp:revision>
  <cp:lastPrinted>2021-10-13T06:50:00Z</cp:lastPrinted>
  <dcterms:created xsi:type="dcterms:W3CDTF">2020-01-14T13:40:00Z</dcterms:created>
  <dcterms:modified xsi:type="dcterms:W3CDTF">2023-08-28T08:20:00Z</dcterms:modified>
</cp:coreProperties>
</file>