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5F312569" w:rsidR="001619B9" w:rsidRPr="004344C8" w:rsidRDefault="00E521A7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1A7">
              <w:rPr>
                <w:rFonts w:ascii="Arial" w:hAnsi="Arial" w:cs="Arial"/>
                <w:b/>
                <w:szCs w:val="22"/>
              </w:rPr>
              <w:t>Provozování zúčtovacího centra VDV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3743157A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371B5B04" w:rsidR="001619B9" w:rsidRPr="00853E33" w:rsidRDefault="00E521A7" w:rsidP="00E521A7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</w:t>
            </w:r>
            <w:r w:rsidR="003643A6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Hanuš Provázek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2AEA0F4E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E521A7">
              <w:rPr>
                <w:rFonts w:ascii="Arial" w:hAnsi="Arial" w:cs="Arial"/>
                <w:sz w:val="22"/>
                <w:szCs w:val="22"/>
              </w:rPr>
              <w:t> 399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2863A9F3" w:rsidR="00071756" w:rsidRDefault="00E521A7" w:rsidP="00071756">
            <w:pPr>
              <w:rPr>
                <w:rFonts w:ascii="Arial" w:hAnsi="Arial" w:cs="Arial"/>
                <w:sz w:val="22"/>
                <w:szCs w:val="22"/>
              </w:rPr>
            </w:pPr>
            <w:r w:rsidRPr="00E521A7">
              <w:rPr>
                <w:rFonts w:ascii="Arial" w:hAnsi="Arial" w:cs="Arial"/>
                <w:sz w:val="22"/>
                <w:szCs w:val="22"/>
              </w:rPr>
              <w:t>Provazek.H@kr-vysocina.cz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150AFB8" w14:textId="77777777" w:rsidR="00E521A7" w:rsidRPr="00E521A7" w:rsidRDefault="00E521A7" w:rsidP="00E521A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E521A7">
        <w:rPr>
          <w:rFonts w:ascii="Arial" w:hAnsi="Arial" w:cs="Arial"/>
          <w:sz w:val="22"/>
          <w:szCs w:val="22"/>
        </w:rPr>
        <w:t>Předmětem plnění veřejné zakázky je zajištění služeb zúčtovacího centra k rozúčtování tržeb dopravců (do počtu 21*) vyplývajících z uznávání papírových jízdních dokladů bez identifikátoru dle podkladů předaných odborem dopravy a silničního hospodářství a vyčíslení kompenzací „státních“ slev (přehled pro Kraj Vysočina a Ministerstvo dopravy)</w:t>
      </w:r>
    </w:p>
    <w:p w14:paraId="0F0AAA12" w14:textId="31CBD03C" w:rsidR="00F16C1F" w:rsidRDefault="00E521A7" w:rsidP="00E521A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E521A7">
        <w:rPr>
          <w:rFonts w:ascii="Arial" w:hAnsi="Arial" w:cs="Arial"/>
          <w:sz w:val="22"/>
          <w:szCs w:val="22"/>
        </w:rPr>
        <w:t>Veřejná linková osobní doprava je v Kraji Vysočina od 12. 12. 2021 rozdělena do 8 oblastí, v každé oblasti může být více dopravců a dopravci se v oblastech mohou opakovat.</w:t>
      </w:r>
    </w:p>
    <w:p w14:paraId="4466706E" w14:textId="77777777" w:rsidR="00E521A7" w:rsidRDefault="00E521A7" w:rsidP="00E521A7">
      <w:pPr>
        <w:jc w:val="both"/>
        <w:rPr>
          <w:rFonts w:ascii="Arial" w:hAnsi="Arial" w:cs="Arial"/>
          <w:sz w:val="22"/>
        </w:rPr>
      </w:pPr>
      <w:r w:rsidRPr="009520F2">
        <w:rPr>
          <w:rFonts w:ascii="Arial" w:hAnsi="Arial" w:cs="Arial"/>
          <w:sz w:val="22"/>
        </w:rPr>
        <w:t>* autobusoví a drážní dopravci</w:t>
      </w:r>
    </w:p>
    <w:p w14:paraId="272B241F" w14:textId="2EC17319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0860EF85" w14:textId="0772114B" w:rsidR="005A27EF" w:rsidRPr="00106DC9" w:rsidRDefault="005A27EF" w:rsidP="005A27EF">
      <w:pPr>
        <w:spacing w:after="220" w:line="276" w:lineRule="auto"/>
        <w:rPr>
          <w:rFonts w:ascii="Arial" w:eastAsia="Calibri" w:hAnsi="Arial"/>
          <w:sz w:val="22"/>
          <w:szCs w:val="22"/>
        </w:rPr>
      </w:pPr>
      <w:bookmarkStart w:id="1" w:name="_Toc464039178"/>
      <w:bookmarkStart w:id="2" w:name="_Toc468796029"/>
      <w:r w:rsidRPr="00106DC9">
        <w:rPr>
          <w:rFonts w:ascii="Arial" w:eastAsia="Calibri" w:hAnsi="Arial"/>
          <w:sz w:val="22"/>
          <w:szCs w:val="22"/>
        </w:rPr>
        <w:t xml:space="preserve">Veřejná linková osobní doprava je v Kraji Vysočina od 12. 12. 2021 rozdělena do 8 oblastí, v každé oblasti může být více dopravců a dopravci se v oblastech mohou opakovat. </w:t>
      </w:r>
      <w:r w:rsidR="0038081E">
        <w:rPr>
          <w:rFonts w:ascii="Arial" w:eastAsia="Calibri" w:hAnsi="Arial"/>
          <w:sz w:val="22"/>
          <w:szCs w:val="22"/>
        </w:rPr>
        <w:t>Obsluhu území Kraje Vysočina zajišťují i dopravci pod smlouvou sousedních krajů na základě mezikrajské sm</w:t>
      </w:r>
      <w:r w:rsidR="00B37AD1">
        <w:rPr>
          <w:rFonts w:ascii="Arial" w:eastAsia="Calibri" w:hAnsi="Arial"/>
          <w:sz w:val="22"/>
          <w:szCs w:val="22"/>
        </w:rPr>
        <w:t>l</w:t>
      </w:r>
      <w:r w:rsidR="0038081E">
        <w:rPr>
          <w:rFonts w:ascii="Arial" w:eastAsia="Calibri" w:hAnsi="Arial"/>
          <w:sz w:val="22"/>
          <w:szCs w:val="22"/>
        </w:rPr>
        <w:t>ouvy</w:t>
      </w:r>
      <w:r w:rsidR="00B37AD1">
        <w:rPr>
          <w:rFonts w:ascii="Arial" w:eastAsia="Calibri" w:hAnsi="Arial"/>
          <w:sz w:val="22"/>
          <w:szCs w:val="22"/>
        </w:rPr>
        <w:t xml:space="preserve">. </w:t>
      </w:r>
      <w:r w:rsidR="0038081E">
        <w:rPr>
          <w:rFonts w:ascii="Arial" w:eastAsia="Calibri" w:hAnsi="Arial"/>
          <w:sz w:val="22"/>
          <w:szCs w:val="22"/>
        </w:rPr>
        <w:t>Daní dopravci odbavují cestující v tarifu VDV a tím</w:t>
      </w:r>
      <w:r w:rsidRPr="00106DC9">
        <w:rPr>
          <w:rFonts w:ascii="Arial" w:eastAsia="Calibri" w:hAnsi="Arial"/>
          <w:sz w:val="22"/>
          <w:szCs w:val="22"/>
        </w:rPr>
        <w:t xml:space="preserve"> jsou účastni clearingu tržeb VDV.</w:t>
      </w:r>
    </w:p>
    <w:p w14:paraId="09D17625" w14:textId="6E1B89D0" w:rsidR="005A27EF" w:rsidRPr="00106DC9" w:rsidRDefault="005A27EF" w:rsidP="005A27EF">
      <w:pPr>
        <w:spacing w:after="220" w:line="276" w:lineRule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Poznámka:</w:t>
      </w:r>
      <w:r w:rsidR="00106DC9">
        <w:rPr>
          <w:rFonts w:ascii="Arial" w:eastAsia="Calibri" w:hAnsi="Arial"/>
          <w:sz w:val="22"/>
          <w:szCs w:val="22"/>
        </w:rPr>
        <w:t xml:space="preserve"> </w:t>
      </w:r>
      <w:r w:rsidRPr="00106DC9">
        <w:rPr>
          <w:rFonts w:ascii="Arial" w:eastAsia="Calibri" w:hAnsi="Arial"/>
          <w:sz w:val="22"/>
          <w:szCs w:val="22"/>
        </w:rPr>
        <w:t>Clearingové centrum připravuje pro objednatele měsíční reporty a pravidelně je v dohodnutých termínech publikuje na svých stránkách, jedná se zejména*:</w:t>
      </w:r>
    </w:p>
    <w:p w14:paraId="43AE1F17" w14:textId="6DD535AD" w:rsidR="005A27EF" w:rsidRPr="00106DC9" w:rsidRDefault="005A27EF" w:rsidP="005A27EF">
      <w:pPr>
        <w:pStyle w:val="Odstavecseseznamem"/>
        <w:numPr>
          <w:ilvl w:val="0"/>
          <w:numId w:val="22"/>
        </w:numPr>
        <w:overflowPunct/>
        <w:autoSpaceDE/>
        <w:autoSpaceDN/>
        <w:adjustRightInd/>
        <w:spacing w:after="220" w:line="276" w:lineRule="auto"/>
        <w:contextualSpacing/>
        <w:textAlignment w:val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Rozúčtování tržeb z tarifu VDV a kompenzací slev Ministerstva dopravy na linko –</w:t>
      </w:r>
      <w:r w:rsidR="00106DC9">
        <w:rPr>
          <w:rFonts w:ascii="Arial" w:eastAsia="Calibri" w:hAnsi="Arial"/>
          <w:sz w:val="22"/>
          <w:szCs w:val="22"/>
        </w:rPr>
        <w:t xml:space="preserve"> </w:t>
      </w:r>
      <w:proofErr w:type="spellStart"/>
      <w:r w:rsidR="00106DC9">
        <w:rPr>
          <w:rFonts w:ascii="Arial" w:eastAsia="Calibri" w:hAnsi="Arial"/>
          <w:sz w:val="22"/>
          <w:szCs w:val="22"/>
        </w:rPr>
        <w:t>vlako</w:t>
      </w:r>
      <w:proofErr w:type="spellEnd"/>
      <w:r w:rsidR="00CD3766">
        <w:rPr>
          <w:rFonts w:ascii="Arial" w:eastAsia="Calibri" w:hAnsi="Arial"/>
          <w:sz w:val="22"/>
          <w:szCs w:val="22"/>
        </w:rPr>
        <w:t xml:space="preserve"> </w:t>
      </w:r>
      <w:r w:rsidRPr="00106DC9">
        <w:rPr>
          <w:rFonts w:ascii="Arial" w:eastAsia="Calibri" w:hAnsi="Arial"/>
          <w:sz w:val="22"/>
          <w:szCs w:val="22"/>
        </w:rPr>
        <w:t>spoje</w:t>
      </w:r>
    </w:p>
    <w:p w14:paraId="2D31BF37" w14:textId="381316FB" w:rsidR="005A27EF" w:rsidRPr="00106DC9" w:rsidRDefault="005A27EF" w:rsidP="005A27EF">
      <w:pPr>
        <w:pStyle w:val="Odstavecseseznamem"/>
        <w:spacing w:after="220" w:line="276" w:lineRule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Termín: nejpozději 15.tého v měsíci do 12:00 (v případě, že tento datum je so, ne nebo svátek, tak nejbližší předcházející pracovní den)</w:t>
      </w:r>
    </w:p>
    <w:p w14:paraId="68817A11" w14:textId="77777777" w:rsidR="005A27EF" w:rsidRPr="00106DC9" w:rsidRDefault="005A27EF" w:rsidP="005A27EF">
      <w:pPr>
        <w:pStyle w:val="Odstavecseseznamem"/>
        <w:numPr>
          <w:ilvl w:val="0"/>
          <w:numId w:val="22"/>
        </w:numPr>
        <w:overflowPunct/>
        <w:autoSpaceDE/>
        <w:autoSpaceDN/>
        <w:adjustRightInd/>
        <w:spacing w:after="220" w:line="276" w:lineRule="auto"/>
        <w:contextualSpacing/>
        <w:textAlignment w:val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Vyčíslení kompenzací z tarifu VDV pro dopravce (na základě této sestavy dopravce žádá vyplacení kompenzací Ministerstvo dopravy)</w:t>
      </w:r>
    </w:p>
    <w:p w14:paraId="6918E2D9" w14:textId="082A4051" w:rsidR="005A27EF" w:rsidRPr="00106DC9" w:rsidRDefault="005A27EF" w:rsidP="005A27EF">
      <w:pPr>
        <w:pStyle w:val="Odstavecseseznamem"/>
        <w:spacing w:after="220" w:line="276" w:lineRule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Termín: nejpozději 15.tého v měsíci do 12:00 (v případě, že tento datum je so, ne nebo svátek, tak nejbližší předcházející pracovní den)</w:t>
      </w:r>
      <w:r w:rsidR="00106DC9">
        <w:rPr>
          <w:rFonts w:ascii="Arial" w:eastAsia="Calibri" w:hAnsi="Arial"/>
          <w:sz w:val="22"/>
          <w:szCs w:val="22"/>
        </w:rPr>
        <w:br/>
      </w:r>
    </w:p>
    <w:p w14:paraId="7AC38FAC" w14:textId="77777777" w:rsidR="005A27EF" w:rsidRPr="00106DC9" w:rsidRDefault="005A27EF" w:rsidP="005A27EF">
      <w:pPr>
        <w:pStyle w:val="Odstavecseseznamem"/>
        <w:numPr>
          <w:ilvl w:val="0"/>
          <w:numId w:val="22"/>
        </w:numPr>
        <w:overflowPunct/>
        <w:autoSpaceDE/>
        <w:autoSpaceDN/>
        <w:adjustRightInd/>
        <w:spacing w:after="220" w:line="276" w:lineRule="auto"/>
        <w:contextualSpacing/>
        <w:textAlignment w:val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lastRenderedPageBreak/>
        <w:t>Přehled prodaných jízdenek z tarifu VDV ve tvaru</w:t>
      </w:r>
    </w:p>
    <w:p w14:paraId="3B6BA874" w14:textId="77777777" w:rsidR="005A27EF" w:rsidRPr="00106DC9" w:rsidRDefault="005A27EF" w:rsidP="005A27EF">
      <w:pPr>
        <w:pStyle w:val="Odstavecseseznamem"/>
        <w:spacing w:after="220" w:line="276" w:lineRule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Linka/spoj/datum/nástupní zastávka/výstupní zastávka/tarif/počet</w:t>
      </w:r>
    </w:p>
    <w:p w14:paraId="6C900514" w14:textId="38DA792C" w:rsidR="005A27EF" w:rsidRPr="00106DC9" w:rsidRDefault="005A27EF" w:rsidP="005A27EF">
      <w:pPr>
        <w:pStyle w:val="Odstavecseseznamem"/>
        <w:spacing w:after="220" w:line="276" w:lineRule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Termín: nejpozději 15.tého v měsíci do 12:00 (v případě, že tento datum je so, ne nebo svátek, tak nejbližší předcházející pracovní den)</w:t>
      </w:r>
    </w:p>
    <w:p w14:paraId="6C1FB74A" w14:textId="77777777" w:rsidR="005A27EF" w:rsidRPr="00106DC9" w:rsidRDefault="005A27EF" w:rsidP="005A27EF">
      <w:pPr>
        <w:pStyle w:val="Odstavecseseznamem"/>
        <w:numPr>
          <w:ilvl w:val="0"/>
          <w:numId w:val="22"/>
        </w:numPr>
        <w:overflowPunct/>
        <w:autoSpaceDE/>
        <w:autoSpaceDN/>
        <w:adjustRightInd/>
        <w:spacing w:after="220" w:line="276" w:lineRule="auto"/>
        <w:contextualSpacing/>
        <w:textAlignment w:val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 xml:space="preserve">Přehled o vydaných přestupních jízdenkách </w:t>
      </w:r>
    </w:p>
    <w:p w14:paraId="17C788CC" w14:textId="77777777" w:rsidR="005A27EF" w:rsidRPr="00106DC9" w:rsidRDefault="005A27EF" w:rsidP="005A27EF">
      <w:pPr>
        <w:pStyle w:val="Odstavecseseznamem"/>
        <w:spacing w:after="220" w:line="276" w:lineRule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Linka/spoj/datum/nástupní zastávka/výstupní zastávka/přestupní zastávka/tarif/počet</w:t>
      </w:r>
    </w:p>
    <w:p w14:paraId="5AB21393" w14:textId="14253FDC" w:rsidR="005A27EF" w:rsidRPr="00106DC9" w:rsidRDefault="005A27EF" w:rsidP="005A27EF">
      <w:pPr>
        <w:pStyle w:val="Odstavecseseznamem"/>
        <w:spacing w:after="220" w:line="276" w:lineRule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Termín: nejpozději 15.tého v měsíci do 12:00 (v případě, že tento datum je so, ne nebo svátek, tak nejbližší předcházející pracovní den)</w:t>
      </w:r>
    </w:p>
    <w:p w14:paraId="7CA5D6C6" w14:textId="77777777" w:rsidR="005A27EF" w:rsidRPr="00106DC9" w:rsidRDefault="005A27EF" w:rsidP="005A27EF">
      <w:pPr>
        <w:pStyle w:val="Odstavecseseznamem"/>
        <w:numPr>
          <w:ilvl w:val="0"/>
          <w:numId w:val="22"/>
        </w:numPr>
        <w:overflowPunct/>
        <w:autoSpaceDE/>
        <w:autoSpaceDN/>
        <w:adjustRightInd/>
        <w:spacing w:after="220" w:line="276" w:lineRule="auto"/>
        <w:contextualSpacing/>
        <w:textAlignment w:val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Přehled finančních prostředků (tržeb VDV) jdoucí na platební bránu Kraje Vysočina a rozdělení na jednotlivé dopravce.</w:t>
      </w:r>
    </w:p>
    <w:p w14:paraId="4672CA58" w14:textId="56A6BF8D" w:rsidR="005A27EF" w:rsidRPr="00106DC9" w:rsidRDefault="005A27EF" w:rsidP="005A27EF">
      <w:pPr>
        <w:pStyle w:val="Odstavecseseznamem"/>
        <w:spacing w:after="220" w:line="276" w:lineRule="auto"/>
        <w:rPr>
          <w:rFonts w:ascii="Arial" w:eastAsia="Calibri" w:hAnsi="Arial"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Termín: Termín: nejpozději 12.tého v měsíci (v případě, že tento datum je so, ne nebo svátek, tak první následující pracovní den)</w:t>
      </w:r>
    </w:p>
    <w:p w14:paraId="3CC95C26" w14:textId="4BE59FCF" w:rsidR="005A27EF" w:rsidRPr="00106DC9" w:rsidRDefault="005A27EF" w:rsidP="005A27EF">
      <w:pPr>
        <w:spacing w:after="220"/>
        <w:rPr>
          <w:rFonts w:ascii="Arial" w:eastAsia="Calibri" w:hAnsi="Arial" w:cs="Arial"/>
          <w:b/>
          <w:bCs/>
          <w:sz w:val="22"/>
          <w:szCs w:val="22"/>
        </w:rPr>
      </w:pPr>
      <w:r w:rsidRPr="00106DC9">
        <w:rPr>
          <w:rFonts w:ascii="Arial" w:eastAsia="Calibri" w:hAnsi="Arial"/>
          <w:sz w:val="22"/>
          <w:szCs w:val="22"/>
        </w:rPr>
        <w:t>*Požadované reporty se mohou v čase měnit dle požadavku objednatele, reporty jsou vystavovány následující měsíc, po měsíci za který se provádí zúčtování tržeb tarifu VDV</w:t>
      </w:r>
    </w:p>
    <w:p w14:paraId="31219050" w14:textId="3AFF2039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F550DFF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</w:t>
      </w:r>
      <w:r w:rsidR="00CF30DD" w:rsidRPr="00580C59">
        <w:rPr>
          <w:rFonts w:cs="Arial"/>
          <w:b/>
          <w:szCs w:val="22"/>
        </w:rPr>
        <w:t>sml</w:t>
      </w:r>
      <w:r w:rsidR="000D2602" w:rsidRPr="00580C59">
        <w:rPr>
          <w:rFonts w:cs="Arial"/>
          <w:b/>
          <w:szCs w:val="22"/>
        </w:rPr>
        <w:t>ou</w:t>
      </w:r>
      <w:r w:rsidR="00CF30DD" w:rsidRPr="00580C59">
        <w:rPr>
          <w:rFonts w:cs="Arial"/>
          <w:b/>
          <w:szCs w:val="22"/>
        </w:rPr>
        <w:t>v</w:t>
      </w:r>
      <w:r w:rsidR="000D2602" w:rsidRPr="00580C59">
        <w:rPr>
          <w:rFonts w:cs="Arial"/>
          <w:b/>
          <w:szCs w:val="22"/>
        </w:rPr>
        <w:t>y</w:t>
      </w:r>
      <w:r w:rsidR="00B01F20" w:rsidRPr="00580C59">
        <w:rPr>
          <w:rFonts w:cs="Arial"/>
          <w:b/>
          <w:szCs w:val="22"/>
        </w:rPr>
        <w:t xml:space="preserve"> </w:t>
      </w:r>
      <w:r w:rsidR="009407AC" w:rsidRPr="009407AC">
        <w:rPr>
          <w:rFonts w:cs="Arial"/>
          <w:b/>
          <w:szCs w:val="22"/>
        </w:rPr>
        <w:t>o poskytování služeb</w:t>
      </w:r>
      <w:r w:rsidR="008B0EF0" w:rsidRPr="00580C59">
        <w:rPr>
          <w:rFonts w:cs="Arial"/>
          <w:b/>
          <w:szCs w:val="22"/>
        </w:rPr>
        <w:t xml:space="preserve"> </w:t>
      </w:r>
      <w:r w:rsidR="008B0EF0" w:rsidRPr="00580C59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3617EAC7" w:rsidR="009440F1" w:rsidRPr="00F16C1F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614AF8">
        <w:rPr>
          <w:rFonts w:ascii="Arial" w:hAnsi="Arial" w:cs="Arial"/>
          <w:sz w:val="22"/>
          <w:szCs w:val="22"/>
        </w:rPr>
        <w:t>8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F16C1F" w:rsidRPr="00CD3C3C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F16C1F" w:rsidRPr="00CD3C3C">
        <w:rPr>
          <w:rFonts w:ascii="Arial" w:hAnsi="Arial" w:cs="Arial"/>
          <w:sz w:val="22"/>
          <w:szCs w:val="22"/>
        </w:rPr>
        <w:t>,-</w:t>
      </w:r>
      <w:r w:rsidR="009440F1" w:rsidRPr="00CD3C3C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bookmarkEnd w:id="5"/>
    <w:bookmarkEnd w:id="6"/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DEB7564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 w:rsidR="00C84A4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</w:t>
      </w:r>
      <w:r w:rsidR="00920054">
        <w:rPr>
          <w:rFonts w:ascii="Arial" w:hAnsi="Arial" w:cs="Arial"/>
          <w:sz w:val="22"/>
          <w:szCs w:val="22"/>
        </w:rPr>
        <w:t>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44AB1615" w14:textId="241F8F37" w:rsidR="008A4AB5" w:rsidRDefault="000D3953" w:rsidP="003E619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3E6195">
        <w:rPr>
          <w:rFonts w:ascii="Arial" w:hAnsi="Arial" w:cs="Arial"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68A0710D" w14:textId="1D9D4FB8" w:rsidR="00290DBF" w:rsidRDefault="00290DBF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B5EFC7F" w14:textId="2965E265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45BFD725" w:rsidR="000D3953" w:rsidRPr="00935FA9" w:rsidRDefault="000D3953" w:rsidP="00920054">
      <w:pPr>
        <w:pStyle w:val="2sltext"/>
        <w:numPr>
          <w:ilvl w:val="0"/>
          <w:numId w:val="0"/>
        </w:numPr>
        <w:rPr>
          <w:b/>
        </w:rPr>
      </w:pPr>
      <w:r w:rsidRPr="00920054">
        <w:rPr>
          <w:rFonts w:ascii="Arial" w:hAnsi="Arial" w:cs="Arial"/>
          <w:spacing w:val="-2"/>
        </w:rPr>
        <w:t>Dodavatel předloží doklad o oprávnění podnikat v rozsahu odpovídajícím předmětu veřejné zakázky. Dodavatel za tímto účelem předloží živnostenské oprávnění či licenci pro živnosti: „</w:t>
      </w:r>
      <w:r w:rsidR="007A1720" w:rsidRPr="007A1720">
        <w:rPr>
          <w:rFonts w:ascii="Arial" w:hAnsi="Arial" w:cs="Arial"/>
          <w:b/>
        </w:rPr>
        <w:t>výroba, instalace, opravy elektrických strojů a přístrojů, elektronických a telekomunikačních zařízení</w:t>
      </w:r>
      <w:r w:rsidRPr="00935FA9">
        <w:rPr>
          <w:b/>
        </w:rPr>
        <w:t>“</w:t>
      </w:r>
      <w:r w:rsidR="00A938FB">
        <w:t xml:space="preserve"> </w:t>
      </w:r>
      <w:r w:rsidR="00A938FB" w:rsidRPr="00A938FB">
        <w:rPr>
          <w:rFonts w:ascii="Arial" w:hAnsi="Arial" w:cs="Arial"/>
          <w:spacing w:val="-2"/>
        </w:rPr>
        <w:t>nebo</w:t>
      </w:r>
      <w:r w:rsidR="00A938FB">
        <w:t xml:space="preserve"> </w:t>
      </w:r>
      <w:r w:rsidRPr="00935FA9">
        <w:rPr>
          <w:b/>
        </w:rPr>
        <w:t>„</w:t>
      </w:r>
      <w:r w:rsidR="007A1720" w:rsidRPr="007A1720">
        <w:rPr>
          <w:rFonts w:ascii="Arial" w:hAnsi="Arial" w:cs="Arial"/>
          <w:b/>
        </w:rPr>
        <w:t>výroba, obchod a služby neuvedené v přílohách 1 až 3 živnostenského zákona</w:t>
      </w:r>
      <w:r w:rsidR="00935FA9">
        <w:t>“.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19E9498C" w14:textId="72CD6080" w:rsidR="009E20E6" w:rsidRDefault="000D3953" w:rsidP="003E619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>že je odborně způsobilý nebo disponuje osobou, jejímž prostřednictvím odbornou způsobilost zabezpečuje.</w:t>
      </w:r>
    </w:p>
    <w:p w14:paraId="4BFC07BC" w14:textId="77777777" w:rsidR="003E6195" w:rsidRDefault="003E6195" w:rsidP="003E6195">
      <w:pPr>
        <w:pStyle w:val="2sltext"/>
        <w:numPr>
          <w:ilvl w:val="0"/>
          <w:numId w:val="0"/>
        </w:numPr>
        <w:spacing w:before="0" w:after="120" w:line="288" w:lineRule="auto"/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66DBB787" w:rsidR="00313904" w:rsidRPr="00313904" w:rsidRDefault="00E1438B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 služby</w:t>
      </w:r>
      <w:r w:rsidR="003E619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C9691E">
        <w:rPr>
          <w:rFonts w:ascii="Arial" w:hAnsi="Arial" w:cs="Arial"/>
          <w:b/>
          <w:spacing w:val="2"/>
          <w:sz w:val="22"/>
          <w:szCs w:val="22"/>
        </w:rPr>
        <w:t xml:space="preserve">automatizovaného </w:t>
      </w:r>
      <w:r w:rsidR="00D216AF">
        <w:rPr>
          <w:rFonts w:ascii="Arial" w:hAnsi="Arial" w:cs="Arial"/>
          <w:b/>
          <w:spacing w:val="2"/>
          <w:sz w:val="22"/>
          <w:szCs w:val="22"/>
        </w:rPr>
        <w:t>zpracová</w:t>
      </w:r>
      <w:r w:rsidR="00B96375">
        <w:rPr>
          <w:rFonts w:ascii="Arial" w:hAnsi="Arial" w:cs="Arial"/>
          <w:b/>
          <w:spacing w:val="2"/>
          <w:sz w:val="22"/>
          <w:szCs w:val="22"/>
        </w:rPr>
        <w:t xml:space="preserve">ní dat </w:t>
      </w:r>
      <w:r w:rsidR="00D216AF">
        <w:rPr>
          <w:rFonts w:ascii="Arial" w:hAnsi="Arial" w:cs="Arial"/>
          <w:b/>
          <w:spacing w:val="2"/>
          <w:sz w:val="22"/>
          <w:szCs w:val="22"/>
        </w:rPr>
        <w:t>z prodeje/odbavení jízdenek z odbavovacích systémů ve vozidlech</w:t>
      </w:r>
      <w:r w:rsidR="0007540E">
        <w:rPr>
          <w:rFonts w:ascii="Arial" w:hAnsi="Arial" w:cs="Arial"/>
          <w:b/>
          <w:spacing w:val="2"/>
          <w:sz w:val="22"/>
          <w:szCs w:val="22"/>
        </w:rPr>
        <w:t xml:space="preserve"> veřejné dopravy</w:t>
      </w:r>
      <w:r w:rsidR="00D216AF">
        <w:rPr>
          <w:rFonts w:ascii="Arial" w:hAnsi="Arial" w:cs="Arial"/>
          <w:b/>
          <w:spacing w:val="2"/>
          <w:sz w:val="22"/>
          <w:szCs w:val="22"/>
        </w:rPr>
        <w:t xml:space="preserve"> a následné vytváření jejich reportů.</w:t>
      </w:r>
    </w:p>
    <w:p w14:paraId="640B8B42" w14:textId="641B14A8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29EA4C8D" w14:textId="3623F9DB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1A20337C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 xml:space="preserve">základní a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profesní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>způsobilost i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E229DF">
        <w:rPr>
          <w:rFonts w:ascii="Arial" w:eastAsia="MS Mincho" w:hAnsi="Arial" w:cs="Arial"/>
          <w:spacing w:val="-6"/>
          <w:sz w:val="22"/>
          <w:szCs w:val="22"/>
        </w:rPr>
        <w:t>poskytování služeb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19CB3D35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lastRenderedPageBreak/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7075F707" w14:textId="53199358" w:rsidR="004518CC" w:rsidRDefault="004518CC" w:rsidP="005D4C9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5D4C99"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5311FB56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</w:t>
      </w:r>
      <w:r w:rsidRPr="00580C59">
        <w:rPr>
          <w:rFonts w:eastAsia="MS Mincho" w:cs="Arial"/>
          <w:b/>
          <w:spacing w:val="-4"/>
          <w:szCs w:val="22"/>
          <w:u w:val="single"/>
        </w:rPr>
        <w:t xml:space="preserve">návrhu </w:t>
      </w:r>
      <w:r w:rsidR="00580C59" w:rsidRPr="00580C59">
        <w:rPr>
          <w:rFonts w:eastAsia="MS Mincho" w:cs="Arial"/>
          <w:b/>
          <w:spacing w:val="-4"/>
          <w:szCs w:val="22"/>
          <w:u w:val="single"/>
        </w:rPr>
        <w:t>smlouvy o poskytování služeb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3ECDC4D0" w14:textId="114550BF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</w:t>
      </w:r>
      <w:r w:rsidR="001303F0">
        <w:rPr>
          <w:rFonts w:cs="Arial"/>
          <w:szCs w:val="22"/>
        </w:rPr>
        <w:t xml:space="preserve">vají z podrobné specifikace služby.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5BA3C954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>Podává-li nabídku více dodavatelů společně (jako jeden účastník zadávacího řízení), j</w:t>
      </w:r>
      <w:r w:rsidR="001303F0">
        <w:rPr>
          <w:rFonts w:cs="Arial"/>
          <w:bCs/>
          <w:spacing w:val="2"/>
          <w:szCs w:val="22"/>
        </w:rPr>
        <w:t xml:space="preserve">sou povinni přiložit v nabídce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0A2AFBCB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7E6BFE84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0100B29" w14:textId="77777777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42E1D6B2" w:rsidR="00926A34" w:rsidRPr="00A253F7" w:rsidRDefault="00926A34" w:rsidP="00580C59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ávrh </w:t>
      </w:r>
      <w:r w:rsidR="00580C59" w:rsidRPr="00580C59">
        <w:rPr>
          <w:rFonts w:ascii="Arial" w:hAnsi="Arial" w:cs="Arial"/>
          <w:b/>
          <w:bCs/>
          <w:i/>
          <w:iCs/>
          <w:sz w:val="22"/>
          <w:szCs w:val="22"/>
        </w:rPr>
        <w:t>smlouvy o poskytování služeb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lastRenderedPageBreak/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0C6CDF49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973686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11316332" w:rsidR="00E107A2" w:rsidRPr="00B27DF3" w:rsidRDefault="00A263F8" w:rsidP="00A263F8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263F8">
        <w:rPr>
          <w:rFonts w:ascii="Arial" w:hAnsi="Arial" w:cs="Arial"/>
          <w:sz w:val="22"/>
          <w:szCs w:val="22"/>
        </w:rPr>
        <w:t>ředloha čestného prohlášení o způsobilosti a kvalifikaci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6DE33562" w14:textId="2B02E16E" w:rsidR="00E107A2" w:rsidRDefault="00A263F8" w:rsidP="00A263F8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A263F8">
        <w:rPr>
          <w:rFonts w:ascii="Arial" w:hAnsi="Arial" w:cs="Arial"/>
          <w:sz w:val="22"/>
          <w:szCs w:val="22"/>
        </w:rPr>
        <w:t>rycí list nabídky a čestné prohlášení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1ED9D61C" w14:textId="0D9A248C" w:rsidR="00E107A2" w:rsidRDefault="004C5F37" w:rsidP="00580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</w:t>
      </w:r>
      <w:r w:rsidR="00580C59" w:rsidRPr="00580C59">
        <w:rPr>
          <w:rFonts w:ascii="Arial" w:eastAsia="MS Mincho" w:hAnsi="Arial" w:cs="Arial"/>
          <w:spacing w:val="-4"/>
          <w:sz w:val="22"/>
          <w:szCs w:val="22"/>
        </w:rPr>
        <w:t>smlouvy o poskytování služeb</w:t>
      </w:r>
      <w:r w:rsidR="00E107A2" w:rsidRPr="00580C59">
        <w:rPr>
          <w:rFonts w:ascii="Arial" w:eastAsia="MS Mincho" w:hAnsi="Arial" w:cs="Arial"/>
          <w:spacing w:val="-4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3510F003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405860D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 xml:space="preserve">Termín a </w:t>
      </w:r>
      <w:r w:rsidR="00563DD3">
        <w:t>způsob</w:t>
      </w:r>
      <w:r>
        <w:t xml:space="preserve"> podání nabíd</w:t>
      </w:r>
      <w:r w:rsidR="00F63462" w:rsidRPr="00F37AAE">
        <w:t>k</w:t>
      </w:r>
      <w:bookmarkEnd w:id="10"/>
      <w:r>
        <w:t>y</w:t>
      </w:r>
      <w:r w:rsidR="00F63462" w:rsidRPr="00F37AAE">
        <w:t xml:space="preserve"> veřejné zakázky</w:t>
      </w:r>
      <w:bookmarkEnd w:id="11"/>
    </w:p>
    <w:p w14:paraId="51FBCD26" w14:textId="244075A9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9118E4">
        <w:rPr>
          <w:rFonts w:ascii="Arial" w:hAnsi="Arial" w:cs="Arial"/>
          <w:b/>
          <w:sz w:val="22"/>
          <w:szCs w:val="22"/>
        </w:rPr>
        <w:t>01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. </w:t>
      </w:r>
      <w:r w:rsidR="00B44531">
        <w:rPr>
          <w:rFonts w:ascii="Arial" w:hAnsi="Arial" w:cs="Arial"/>
          <w:b/>
          <w:sz w:val="22"/>
          <w:szCs w:val="22"/>
        </w:rPr>
        <w:t>1</w:t>
      </w:r>
      <w:r w:rsidR="009118E4">
        <w:rPr>
          <w:rFonts w:ascii="Arial" w:hAnsi="Arial" w:cs="Arial"/>
          <w:b/>
          <w:sz w:val="22"/>
          <w:szCs w:val="22"/>
        </w:rPr>
        <w:t>1</w:t>
      </w:r>
      <w:r w:rsidR="00FF298B" w:rsidRPr="003F30EF">
        <w:rPr>
          <w:rFonts w:ascii="Arial" w:hAnsi="Arial" w:cs="Arial"/>
          <w:b/>
          <w:sz w:val="22"/>
          <w:szCs w:val="22"/>
        </w:rPr>
        <w:t>. 2021 do 1</w:t>
      </w:r>
      <w:r w:rsidR="009118E4">
        <w:rPr>
          <w:rFonts w:ascii="Arial" w:hAnsi="Arial" w:cs="Arial"/>
          <w:b/>
          <w:sz w:val="22"/>
          <w:szCs w:val="22"/>
        </w:rPr>
        <w:t>0</w:t>
      </w:r>
      <w:bookmarkStart w:id="12" w:name="_GoBack"/>
      <w:bookmarkEnd w:id="12"/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lastRenderedPageBreak/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3AB2C8DE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</w:t>
      </w:r>
      <w:r w:rsidR="008078FF">
        <w:rPr>
          <w:rFonts w:ascii="Arial" w:hAnsi="Arial" w:cs="Arial"/>
          <w:sz w:val="22"/>
          <w:szCs w:val="22"/>
        </w:rPr>
        <w:t xml:space="preserve">nocení nabídek bude považována </w:t>
      </w:r>
      <w:r>
        <w:rPr>
          <w:rFonts w:ascii="Arial" w:hAnsi="Arial" w:cs="Arial"/>
          <w:sz w:val="22"/>
          <w:szCs w:val="22"/>
        </w:rPr>
        <w:t xml:space="preserve">nabídková cena bez DPH uvedená ve smlouvě o </w:t>
      </w:r>
      <w:r w:rsidR="00E229DF" w:rsidRPr="00E229DF">
        <w:rPr>
          <w:rFonts w:ascii="Arial" w:hAnsi="Arial" w:cs="Arial"/>
          <w:sz w:val="22"/>
          <w:szCs w:val="22"/>
        </w:rPr>
        <w:t>poskytování služeb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3A8B1BEA" w:rsidR="00F30668" w:rsidRPr="008A4F6F" w:rsidRDefault="008078FF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</w:t>
      </w:r>
      <w:r w:rsidR="00F30668" w:rsidRPr="00AC372E">
        <w:rPr>
          <w:rFonts w:ascii="Arial" w:hAnsi="Arial" w:cs="Arial"/>
          <w:sz w:val="22"/>
          <w:szCs w:val="22"/>
        </w:rPr>
        <w:t xml:space="preserve"> plnění je</w:t>
      </w:r>
      <w:r>
        <w:rPr>
          <w:rFonts w:ascii="Arial" w:hAnsi="Arial" w:cs="Arial"/>
          <w:sz w:val="22"/>
          <w:szCs w:val="22"/>
        </w:rPr>
        <w:t xml:space="preserve"> u dodavatele služby</w:t>
      </w:r>
      <w:r w:rsidR="00F30668"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023FD3D9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 xml:space="preserve">ého návrhu </w:t>
      </w:r>
      <w:r w:rsidR="00580C59" w:rsidRPr="00580C59">
        <w:rPr>
          <w:szCs w:val="22"/>
        </w:rPr>
        <w:t>smlouvy o poskytování služeb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6AE3F6D4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</w:t>
      </w:r>
      <w:r w:rsidR="00650B14">
        <w:rPr>
          <w:szCs w:val="22"/>
        </w:rPr>
        <w:t xml:space="preserve">6 a násl. občanského zákoníku. </w:t>
      </w:r>
      <w:r w:rsidRPr="00EE46E5">
        <w:rPr>
          <w:szCs w:val="22"/>
        </w:rPr>
        <w:t>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</w:t>
      </w:r>
      <w:r w:rsidRPr="00623D2A">
        <w:rPr>
          <w:szCs w:val="22"/>
        </w:rPr>
        <w:lastRenderedPageBreak/>
        <w:t xml:space="preserve">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4FAD5ED8" w14:textId="1C631D92" w:rsidR="00AB6B80" w:rsidRPr="008B4076" w:rsidRDefault="00B13019" w:rsidP="008B4076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64F9272D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4B17200C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51354A3E" w14:textId="1341BC91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5BEBD1C1" w14:textId="373EF829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05C30667" w14:textId="6409698B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5822EA90" w14:textId="1299E84A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35710FD0" w14:textId="30FDC36F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123F545D" w14:textId="28BC11AF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51FF255D" w14:textId="631D40AE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74473AFC" w14:textId="5EB55C9A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6EAE743B" w14:textId="7FE3AA5F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5C0C0A8D" w14:textId="409A23AF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7457BA27" w14:textId="411DA437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2931B08B" w14:textId="214D8C5F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370ED8BA" w14:textId="74850A64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2EEC9325" w14:textId="0C80C43E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42F53346" w14:textId="0CF88438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7D7FC8BE" w14:textId="56183382" w:rsidR="008B4076" w:rsidRDefault="008B4076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footerReference w:type="default" r:id="rId10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29BA9" w14:textId="77777777" w:rsidR="0069553D" w:rsidRDefault="0069553D">
      <w:r>
        <w:separator/>
      </w:r>
    </w:p>
  </w:endnote>
  <w:endnote w:type="continuationSeparator" w:id="0">
    <w:p w14:paraId="070E2F94" w14:textId="77777777" w:rsidR="0069553D" w:rsidRDefault="0069553D">
      <w:r>
        <w:continuationSeparator/>
      </w:r>
    </w:p>
  </w:endnote>
  <w:endnote w:type="continuationNotice" w:id="1">
    <w:p w14:paraId="35F8577A" w14:textId="77777777" w:rsidR="0069553D" w:rsidRDefault="006955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060984ED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118E4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118E4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7CA7D" w14:textId="77777777" w:rsidR="0069553D" w:rsidRDefault="0069553D">
      <w:r>
        <w:separator/>
      </w:r>
    </w:p>
  </w:footnote>
  <w:footnote w:type="continuationSeparator" w:id="0">
    <w:p w14:paraId="314277D7" w14:textId="77777777" w:rsidR="0069553D" w:rsidRDefault="0069553D">
      <w:r>
        <w:continuationSeparator/>
      </w:r>
    </w:p>
  </w:footnote>
  <w:footnote w:type="continuationNotice" w:id="1">
    <w:p w14:paraId="306ED0A0" w14:textId="77777777" w:rsidR="0069553D" w:rsidRDefault="006955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7"/>
  </w:num>
  <w:num w:numId="3">
    <w:abstractNumId w:val="20"/>
  </w:num>
  <w:num w:numId="4">
    <w:abstractNumId w:val="15"/>
  </w:num>
  <w:num w:numId="5">
    <w:abstractNumId w:val="3"/>
  </w:num>
  <w:num w:numId="6">
    <w:abstractNumId w:val="4"/>
  </w:num>
  <w:num w:numId="7">
    <w:abstractNumId w:val="12"/>
  </w:num>
  <w:num w:numId="8">
    <w:abstractNumId w:val="1"/>
  </w:num>
  <w:num w:numId="9">
    <w:abstractNumId w:val="5"/>
  </w:num>
  <w:num w:numId="10">
    <w:abstractNumId w:val="18"/>
  </w:num>
  <w:num w:numId="11">
    <w:abstractNumId w:val="10"/>
  </w:num>
  <w:num w:numId="12">
    <w:abstractNumId w:val="19"/>
  </w:num>
  <w:num w:numId="13">
    <w:abstractNumId w:val="6"/>
  </w:num>
  <w:num w:numId="14">
    <w:abstractNumId w:val="2"/>
  </w:num>
  <w:num w:numId="15">
    <w:abstractNumId w:val="11"/>
  </w:num>
  <w:num w:numId="16">
    <w:abstractNumId w:val="17"/>
  </w:num>
  <w:num w:numId="17">
    <w:abstractNumId w:val="18"/>
  </w:num>
  <w:num w:numId="18">
    <w:abstractNumId w:val="0"/>
  </w:num>
  <w:num w:numId="19">
    <w:abstractNumId w:val="14"/>
  </w:num>
  <w:num w:numId="20">
    <w:abstractNumId w:val="18"/>
  </w:num>
  <w:num w:numId="21">
    <w:abstractNumId w:val="18"/>
  </w:num>
  <w:num w:numId="2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07C6B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0936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40E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5D55"/>
    <w:rsid w:val="00096FC7"/>
    <w:rsid w:val="000A1260"/>
    <w:rsid w:val="000A1869"/>
    <w:rsid w:val="000A4B76"/>
    <w:rsid w:val="000A5BBB"/>
    <w:rsid w:val="000B37F8"/>
    <w:rsid w:val="000B6302"/>
    <w:rsid w:val="000B6EA7"/>
    <w:rsid w:val="000B7BED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82C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DC9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03F0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08AA"/>
    <w:rsid w:val="00274E08"/>
    <w:rsid w:val="00275E85"/>
    <w:rsid w:val="002764DE"/>
    <w:rsid w:val="002774D6"/>
    <w:rsid w:val="00280F2E"/>
    <w:rsid w:val="00284361"/>
    <w:rsid w:val="00286A2A"/>
    <w:rsid w:val="002870AC"/>
    <w:rsid w:val="00290DBF"/>
    <w:rsid w:val="002913B1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654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1F16"/>
    <w:rsid w:val="0034233D"/>
    <w:rsid w:val="00342406"/>
    <w:rsid w:val="00343ED9"/>
    <w:rsid w:val="00346989"/>
    <w:rsid w:val="00347DCC"/>
    <w:rsid w:val="003509F6"/>
    <w:rsid w:val="00350BD0"/>
    <w:rsid w:val="00350C41"/>
    <w:rsid w:val="003519A1"/>
    <w:rsid w:val="003524C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6488"/>
    <w:rsid w:val="00367040"/>
    <w:rsid w:val="00367275"/>
    <w:rsid w:val="003678F2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81E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6E87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59DD"/>
    <w:rsid w:val="003E6195"/>
    <w:rsid w:val="003E681C"/>
    <w:rsid w:val="003F01AC"/>
    <w:rsid w:val="003F1286"/>
    <w:rsid w:val="003F1470"/>
    <w:rsid w:val="003F30EF"/>
    <w:rsid w:val="003F33B7"/>
    <w:rsid w:val="003F3C4A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5BE6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1613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0C59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27EF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4C99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4AF8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9F8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0B14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53D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CE4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E7396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2C0D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1720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078FF"/>
    <w:rsid w:val="00811066"/>
    <w:rsid w:val="0081160D"/>
    <w:rsid w:val="00812136"/>
    <w:rsid w:val="00812CE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497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AB5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076"/>
    <w:rsid w:val="008B4AFD"/>
    <w:rsid w:val="008B5842"/>
    <w:rsid w:val="008B6691"/>
    <w:rsid w:val="008B772C"/>
    <w:rsid w:val="008C12AE"/>
    <w:rsid w:val="008C1548"/>
    <w:rsid w:val="008C1F09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D7180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8E4"/>
    <w:rsid w:val="009119BB"/>
    <w:rsid w:val="009126CE"/>
    <w:rsid w:val="009130DD"/>
    <w:rsid w:val="009145DD"/>
    <w:rsid w:val="00915255"/>
    <w:rsid w:val="00916E01"/>
    <w:rsid w:val="00917EAE"/>
    <w:rsid w:val="00920054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35FA9"/>
    <w:rsid w:val="00940232"/>
    <w:rsid w:val="009407AC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0D36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1D64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63F8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1A32"/>
    <w:rsid w:val="00A5238A"/>
    <w:rsid w:val="00A531D5"/>
    <w:rsid w:val="00A535D2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8FB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42E9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068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5635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5E66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7AD1"/>
    <w:rsid w:val="00B40860"/>
    <w:rsid w:val="00B412CB"/>
    <w:rsid w:val="00B419D2"/>
    <w:rsid w:val="00B4262C"/>
    <w:rsid w:val="00B43789"/>
    <w:rsid w:val="00B43D45"/>
    <w:rsid w:val="00B441B8"/>
    <w:rsid w:val="00B44531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6375"/>
    <w:rsid w:val="00B97F29"/>
    <w:rsid w:val="00BA2007"/>
    <w:rsid w:val="00BA2D17"/>
    <w:rsid w:val="00BA4780"/>
    <w:rsid w:val="00BA53EF"/>
    <w:rsid w:val="00BA5ADA"/>
    <w:rsid w:val="00BA77B6"/>
    <w:rsid w:val="00BA7F5C"/>
    <w:rsid w:val="00BB066A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01C1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A45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691E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766"/>
    <w:rsid w:val="00CD3996"/>
    <w:rsid w:val="00CD3C3C"/>
    <w:rsid w:val="00CD48FD"/>
    <w:rsid w:val="00CD52D9"/>
    <w:rsid w:val="00CD5785"/>
    <w:rsid w:val="00CD73B9"/>
    <w:rsid w:val="00CD7E2C"/>
    <w:rsid w:val="00CE01D6"/>
    <w:rsid w:val="00CE1E67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16AF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50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438B"/>
    <w:rsid w:val="00E15168"/>
    <w:rsid w:val="00E1622C"/>
    <w:rsid w:val="00E17432"/>
    <w:rsid w:val="00E203FC"/>
    <w:rsid w:val="00E2041B"/>
    <w:rsid w:val="00E20795"/>
    <w:rsid w:val="00E217E7"/>
    <w:rsid w:val="00E21926"/>
    <w:rsid w:val="00E222DD"/>
    <w:rsid w:val="00E22550"/>
    <w:rsid w:val="00E229DF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1A7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5B34"/>
    <w:rsid w:val="00E8646A"/>
    <w:rsid w:val="00E86D4E"/>
    <w:rsid w:val="00E877DE"/>
    <w:rsid w:val="00E9000D"/>
    <w:rsid w:val="00E90CA0"/>
    <w:rsid w:val="00E90E79"/>
    <w:rsid w:val="00E921BC"/>
    <w:rsid w:val="00E94832"/>
    <w:rsid w:val="00E954EC"/>
    <w:rsid w:val="00EA10A3"/>
    <w:rsid w:val="00EA10D8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3AFE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266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584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9B15A-1B48-4773-8D15-9FE05476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7</Pages>
  <Words>2264</Words>
  <Characters>13364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15597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Provázek Hanuš Bc.</cp:lastModifiedBy>
  <cp:revision>74</cp:revision>
  <cp:lastPrinted>2021-10-07T08:54:00Z</cp:lastPrinted>
  <dcterms:created xsi:type="dcterms:W3CDTF">2021-05-03T12:30:00Z</dcterms:created>
  <dcterms:modified xsi:type="dcterms:W3CDTF">2021-10-07T09:02:00Z</dcterms:modified>
</cp:coreProperties>
</file>