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79C6E0D0" w:rsidR="001619B9" w:rsidRPr="004344C8" w:rsidRDefault="00F16C1F" w:rsidP="00096893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31B0">
              <w:rPr>
                <w:rFonts w:ascii="Arial" w:hAnsi="Arial" w:cs="Arial"/>
                <w:b/>
                <w:szCs w:val="22"/>
              </w:rPr>
              <w:t>II/3</w:t>
            </w:r>
            <w:r w:rsidR="00697097">
              <w:rPr>
                <w:rFonts w:ascii="Arial" w:hAnsi="Arial" w:cs="Arial"/>
                <w:b/>
                <w:szCs w:val="22"/>
              </w:rPr>
              <w:t>52 Sázava – opěrná zeď</w:t>
            </w:r>
            <w:r w:rsidRPr="009931B0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03F84214" w:rsidR="001619B9" w:rsidRPr="00853E33" w:rsidRDefault="001619B9" w:rsidP="00730EF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3743157A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624CCDDE" w:rsidR="001619B9" w:rsidRPr="004B1371" w:rsidRDefault="003643A6" w:rsidP="004B1371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4B1371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B1371" w:rsidRPr="004B1371">
              <w:rPr>
                <w:rFonts w:ascii="Arial" w:hAnsi="Arial" w:cs="Arial"/>
                <w:sz w:val="22"/>
                <w:szCs w:val="22"/>
              </w:rPr>
              <w:t>Aneta Bulíčková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6DD5DEE" w:rsidR="001619B9" w:rsidRPr="004B1371" w:rsidRDefault="001619B9" w:rsidP="004B1371">
            <w:pPr>
              <w:rPr>
                <w:rFonts w:ascii="Arial" w:hAnsi="Arial" w:cs="Arial"/>
                <w:sz w:val="22"/>
                <w:szCs w:val="22"/>
              </w:rPr>
            </w:pPr>
            <w:r w:rsidRPr="004B1371"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 w:rsidRPr="004B1371">
              <w:rPr>
                <w:rFonts w:ascii="Arial" w:hAnsi="Arial" w:cs="Arial"/>
                <w:sz w:val="22"/>
                <w:szCs w:val="22"/>
              </w:rPr>
              <w:t> </w:t>
            </w:r>
            <w:r w:rsidR="004B1371" w:rsidRPr="004B1371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64B2E7E5" w:rsidR="00071756" w:rsidRPr="004B1371" w:rsidRDefault="004B1371" w:rsidP="00071756">
            <w:pPr>
              <w:rPr>
                <w:rFonts w:ascii="Arial" w:hAnsi="Arial" w:cs="Arial"/>
                <w:sz w:val="22"/>
                <w:szCs w:val="22"/>
              </w:rPr>
            </w:pPr>
            <w:r w:rsidRPr="004B1371">
              <w:rPr>
                <w:rFonts w:ascii="Arial" w:hAnsi="Arial" w:cs="Arial"/>
                <w:sz w:val="22"/>
                <w:szCs w:val="22"/>
              </w:rPr>
              <w:t>bulickova.a</w:t>
            </w:r>
            <w:r w:rsidR="00071756" w:rsidRPr="004B1371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2F36E3F6" w14:textId="1310608C" w:rsidR="004A279E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</w:t>
      </w:r>
      <w:r w:rsidR="004A279E" w:rsidRPr="0035398E">
        <w:rPr>
          <w:rFonts w:ascii="Arial" w:hAnsi="Arial" w:cs="Arial"/>
          <w:sz w:val="22"/>
          <w:szCs w:val="22"/>
        </w:rPr>
        <w:t xml:space="preserve">vypracování </w:t>
      </w:r>
      <w:r w:rsidR="004A279E">
        <w:rPr>
          <w:rFonts w:ascii="Arial" w:hAnsi="Arial" w:cs="Arial"/>
          <w:sz w:val="22"/>
          <w:szCs w:val="22"/>
        </w:rPr>
        <w:t xml:space="preserve">projektové dokumentace </w:t>
      </w:r>
      <w:r w:rsidR="004A279E" w:rsidRPr="00706590">
        <w:rPr>
          <w:rFonts w:ascii="Arial" w:hAnsi="Arial" w:cs="Arial"/>
          <w:sz w:val="22"/>
          <w:szCs w:val="22"/>
        </w:rPr>
        <w:t xml:space="preserve">pro </w:t>
      </w:r>
      <w:r w:rsidR="004A279E"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4A279E">
        <w:rPr>
          <w:rFonts w:ascii="Arial" w:hAnsi="Arial" w:cs="Arial"/>
          <w:sz w:val="22"/>
          <w:szCs w:val="22"/>
        </w:rPr>
        <w:t>, vypracování</w:t>
      </w:r>
      <w:r w:rsidR="004A279E" w:rsidRPr="0035398E">
        <w:rPr>
          <w:rFonts w:ascii="Arial" w:hAnsi="Arial" w:cs="Arial"/>
          <w:sz w:val="22"/>
          <w:szCs w:val="22"/>
        </w:rPr>
        <w:t xml:space="preserve"> projektové do</w:t>
      </w:r>
      <w:r w:rsidR="004A279E">
        <w:rPr>
          <w:rFonts w:ascii="Arial" w:hAnsi="Arial" w:cs="Arial"/>
          <w:sz w:val="22"/>
          <w:szCs w:val="22"/>
        </w:rPr>
        <w:t>kumentace pro stavební</w:t>
      </w:r>
      <w:r w:rsidR="004A279E" w:rsidRPr="00706590">
        <w:rPr>
          <w:rFonts w:ascii="Arial" w:hAnsi="Arial" w:cs="Arial"/>
          <w:sz w:val="22"/>
          <w:szCs w:val="22"/>
        </w:rPr>
        <w:t xml:space="preserve"> </w:t>
      </w:r>
      <w:r w:rsidR="004A279E">
        <w:rPr>
          <w:rFonts w:ascii="Arial" w:hAnsi="Arial" w:cs="Arial"/>
          <w:sz w:val="22"/>
          <w:szCs w:val="22"/>
        </w:rPr>
        <w:t>povolení (dále též „DSP“)</w:t>
      </w:r>
      <w:r w:rsidR="004A279E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4A279E">
        <w:rPr>
          <w:rFonts w:ascii="Arial" w:hAnsi="Arial" w:cs="Arial"/>
          <w:sz w:val="22"/>
          <w:szCs w:val="22"/>
        </w:rPr>
        <w:t xml:space="preserve">pravomocného </w:t>
      </w:r>
      <w:r w:rsidR="004A279E" w:rsidRPr="00706590">
        <w:rPr>
          <w:rFonts w:ascii="Arial" w:hAnsi="Arial" w:cs="Arial"/>
          <w:sz w:val="22"/>
          <w:szCs w:val="22"/>
        </w:rPr>
        <w:t>s</w:t>
      </w:r>
      <w:r w:rsidR="004A279E">
        <w:rPr>
          <w:rFonts w:ascii="Arial" w:hAnsi="Arial" w:cs="Arial"/>
          <w:sz w:val="22"/>
          <w:szCs w:val="22"/>
        </w:rPr>
        <w:t>tavebního</w:t>
      </w:r>
      <w:r w:rsidR="004A279E" w:rsidRPr="00706590">
        <w:rPr>
          <w:rFonts w:ascii="Arial" w:hAnsi="Arial" w:cs="Arial"/>
          <w:sz w:val="22"/>
          <w:szCs w:val="22"/>
        </w:rPr>
        <w:t xml:space="preserve"> povolení</w:t>
      </w:r>
      <w:r w:rsidR="004A279E">
        <w:rPr>
          <w:rFonts w:ascii="Arial" w:hAnsi="Arial" w:cs="Arial"/>
          <w:sz w:val="22"/>
          <w:szCs w:val="22"/>
        </w:rPr>
        <w:t xml:space="preserve"> </w:t>
      </w:r>
      <w:r w:rsidR="004A279E" w:rsidRPr="00706590">
        <w:rPr>
          <w:rFonts w:ascii="Arial" w:hAnsi="Arial" w:cs="Arial"/>
          <w:sz w:val="22"/>
          <w:szCs w:val="22"/>
        </w:rPr>
        <w:t xml:space="preserve">a </w:t>
      </w:r>
      <w:r w:rsidR="004A279E">
        <w:rPr>
          <w:rFonts w:ascii="Arial" w:hAnsi="Arial" w:cs="Arial"/>
          <w:sz w:val="22"/>
          <w:szCs w:val="22"/>
        </w:rPr>
        <w:t>vy</w:t>
      </w:r>
      <w:r w:rsidR="004A279E" w:rsidRPr="00706590">
        <w:rPr>
          <w:rFonts w:ascii="Arial" w:hAnsi="Arial" w:cs="Arial"/>
          <w:sz w:val="22"/>
          <w:szCs w:val="22"/>
        </w:rPr>
        <w:t xml:space="preserve">pracování projektové dokumentace pro </w:t>
      </w:r>
      <w:r w:rsidR="004A279E">
        <w:rPr>
          <w:rFonts w:ascii="Arial" w:hAnsi="Arial" w:cs="Arial"/>
          <w:sz w:val="22"/>
          <w:szCs w:val="22"/>
        </w:rPr>
        <w:t>provádění stavby (dále též</w:t>
      </w:r>
      <w:r w:rsidR="004A279E"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="004A279E" w:rsidRPr="00483F3D">
        <w:rPr>
          <w:rFonts w:ascii="Arial" w:hAnsi="Arial" w:cs="Arial"/>
          <w:sz w:val="22"/>
          <w:szCs w:val="22"/>
        </w:rPr>
        <w:t xml:space="preserve">prací a rozpočtu </w:t>
      </w:r>
      <w:r w:rsidR="004A279E">
        <w:rPr>
          <w:rFonts w:ascii="Arial" w:hAnsi="Arial" w:cs="Arial"/>
          <w:sz w:val="22"/>
          <w:szCs w:val="22"/>
        </w:rPr>
        <w:t xml:space="preserve">akce </w:t>
      </w:r>
      <w:r w:rsidR="004A279E" w:rsidRPr="00E95278">
        <w:rPr>
          <w:rFonts w:ascii="Arial" w:hAnsi="Arial" w:cs="Arial"/>
          <w:sz w:val="22"/>
          <w:szCs w:val="22"/>
        </w:rPr>
        <w:t>„</w:t>
      </w:r>
      <w:r w:rsidR="002221CB">
        <w:rPr>
          <w:rFonts w:ascii="Arial" w:hAnsi="Arial" w:cs="Arial"/>
          <w:sz w:val="22"/>
          <w:szCs w:val="22"/>
        </w:rPr>
        <w:t>II/352 Sázava – opěrná zeď</w:t>
      </w:r>
      <w:r w:rsidR="004A279E" w:rsidRPr="00E95278">
        <w:rPr>
          <w:rFonts w:ascii="Arial" w:hAnsi="Arial" w:cs="Arial"/>
          <w:sz w:val="22"/>
          <w:szCs w:val="22"/>
        </w:rPr>
        <w:t>“.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272B241F" w14:textId="46F6A4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7BF069B2" w14:textId="2A8F8EC0" w:rsidR="00F16C1F" w:rsidRPr="00FC3949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C3949">
        <w:rPr>
          <w:rFonts w:ascii="Arial" w:hAnsi="Arial" w:cs="Arial"/>
          <w:sz w:val="22"/>
          <w:szCs w:val="22"/>
        </w:rPr>
        <w:t>Podrobný popis:</w:t>
      </w:r>
    </w:p>
    <w:p w14:paraId="5113D922" w14:textId="4E382E57" w:rsidR="00F16C1F" w:rsidRPr="00FC3949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C3949">
        <w:rPr>
          <w:rFonts w:ascii="Arial" w:hAnsi="Arial" w:cs="Arial"/>
          <w:sz w:val="22"/>
          <w:szCs w:val="22"/>
        </w:rPr>
        <w:t>Jedná se o rekonstrukci  silnice II</w:t>
      </w:r>
      <w:r w:rsidR="00853685" w:rsidRPr="00FC3949">
        <w:rPr>
          <w:rFonts w:ascii="Arial" w:hAnsi="Arial" w:cs="Arial"/>
          <w:sz w:val="22"/>
          <w:szCs w:val="22"/>
        </w:rPr>
        <w:t>/</w:t>
      </w:r>
      <w:r w:rsidRPr="00FC3949">
        <w:rPr>
          <w:rFonts w:ascii="Arial" w:hAnsi="Arial" w:cs="Arial"/>
          <w:sz w:val="22"/>
          <w:szCs w:val="22"/>
        </w:rPr>
        <w:t>3</w:t>
      </w:r>
      <w:r w:rsidR="00D93D8A" w:rsidRPr="00FC3949">
        <w:rPr>
          <w:rFonts w:ascii="Arial" w:hAnsi="Arial" w:cs="Arial"/>
          <w:sz w:val="22"/>
          <w:szCs w:val="22"/>
        </w:rPr>
        <w:t>52</w:t>
      </w:r>
      <w:r w:rsidRPr="00FC3949">
        <w:rPr>
          <w:rFonts w:ascii="Arial" w:hAnsi="Arial" w:cs="Arial"/>
          <w:sz w:val="22"/>
          <w:szCs w:val="22"/>
        </w:rPr>
        <w:t xml:space="preserve"> </w:t>
      </w:r>
      <w:r w:rsidR="00853685" w:rsidRPr="00FC3949">
        <w:rPr>
          <w:rFonts w:ascii="Arial" w:hAnsi="Arial" w:cs="Arial"/>
          <w:sz w:val="22"/>
          <w:szCs w:val="22"/>
        </w:rPr>
        <w:t xml:space="preserve">v průtahu </w:t>
      </w:r>
      <w:r w:rsidRPr="00FC3949">
        <w:rPr>
          <w:rFonts w:ascii="Arial" w:hAnsi="Arial" w:cs="Arial"/>
          <w:sz w:val="22"/>
          <w:szCs w:val="22"/>
        </w:rPr>
        <w:t>obc</w:t>
      </w:r>
      <w:r w:rsidR="00853685" w:rsidRPr="00FC3949">
        <w:rPr>
          <w:rFonts w:ascii="Arial" w:hAnsi="Arial" w:cs="Arial"/>
          <w:sz w:val="22"/>
          <w:szCs w:val="22"/>
        </w:rPr>
        <w:t>e</w:t>
      </w:r>
      <w:r w:rsidRPr="00FC3949">
        <w:rPr>
          <w:rFonts w:ascii="Arial" w:hAnsi="Arial" w:cs="Arial"/>
          <w:sz w:val="22"/>
          <w:szCs w:val="22"/>
        </w:rPr>
        <w:t xml:space="preserve"> </w:t>
      </w:r>
      <w:r w:rsidR="00D93D8A" w:rsidRPr="00FC3949">
        <w:rPr>
          <w:rFonts w:ascii="Arial" w:hAnsi="Arial" w:cs="Arial"/>
          <w:sz w:val="22"/>
          <w:szCs w:val="22"/>
        </w:rPr>
        <w:t>Sázava</w:t>
      </w:r>
      <w:r w:rsidRPr="00FC3949">
        <w:rPr>
          <w:rFonts w:ascii="Arial" w:hAnsi="Arial" w:cs="Arial"/>
          <w:sz w:val="22"/>
          <w:szCs w:val="22"/>
        </w:rPr>
        <w:t xml:space="preserve"> včetně </w:t>
      </w:r>
      <w:r w:rsidR="00D93D8A" w:rsidRPr="00FC3949">
        <w:rPr>
          <w:rFonts w:ascii="Arial" w:hAnsi="Arial" w:cs="Arial"/>
          <w:sz w:val="22"/>
          <w:szCs w:val="22"/>
        </w:rPr>
        <w:t xml:space="preserve">stabilizace tělesa </w:t>
      </w:r>
      <w:r w:rsidR="00E03A46" w:rsidRPr="00FC3949">
        <w:rPr>
          <w:rFonts w:ascii="Arial" w:hAnsi="Arial" w:cs="Arial"/>
          <w:sz w:val="22"/>
          <w:szCs w:val="22"/>
        </w:rPr>
        <w:t>silnice</w:t>
      </w:r>
      <w:r w:rsidR="00D93D8A" w:rsidRPr="00FC3949">
        <w:rPr>
          <w:rFonts w:ascii="Arial" w:hAnsi="Arial" w:cs="Arial"/>
          <w:sz w:val="22"/>
          <w:szCs w:val="22"/>
        </w:rPr>
        <w:t xml:space="preserve"> v blízkosti přiléhající nemovitosti čp.</w:t>
      </w:r>
      <w:r w:rsidR="00540BE3" w:rsidRPr="00FC3949">
        <w:rPr>
          <w:rFonts w:ascii="Arial" w:hAnsi="Arial" w:cs="Arial"/>
          <w:sz w:val="22"/>
          <w:szCs w:val="22"/>
        </w:rPr>
        <w:t xml:space="preserve"> </w:t>
      </w:r>
      <w:r w:rsidR="00D93D8A" w:rsidRPr="00FC3949">
        <w:rPr>
          <w:rFonts w:ascii="Arial" w:hAnsi="Arial" w:cs="Arial"/>
          <w:sz w:val="22"/>
          <w:szCs w:val="22"/>
        </w:rPr>
        <w:t xml:space="preserve">6. </w:t>
      </w:r>
      <w:r w:rsidRPr="00FC3949">
        <w:rPr>
          <w:rFonts w:ascii="Arial" w:hAnsi="Arial" w:cs="Arial"/>
          <w:sz w:val="22"/>
          <w:szCs w:val="22"/>
        </w:rPr>
        <w:t>Začátek úpravy je u dopravní značky IZ 4 začátek obce v km 2</w:t>
      </w:r>
      <w:r w:rsidR="00E15B5F" w:rsidRPr="00FC3949">
        <w:rPr>
          <w:rFonts w:ascii="Arial" w:hAnsi="Arial" w:cs="Arial"/>
          <w:sz w:val="22"/>
          <w:szCs w:val="22"/>
        </w:rPr>
        <w:t>5,230</w:t>
      </w:r>
      <w:r w:rsidRPr="00FC3949">
        <w:rPr>
          <w:rFonts w:ascii="Arial" w:hAnsi="Arial" w:cs="Arial"/>
          <w:sz w:val="22"/>
          <w:szCs w:val="22"/>
        </w:rPr>
        <w:t xml:space="preserve"> provozního staničení. </w:t>
      </w:r>
      <w:r w:rsidR="002E5595" w:rsidRPr="00FC3949">
        <w:rPr>
          <w:rFonts w:ascii="Arial" w:hAnsi="Arial" w:cs="Arial"/>
          <w:sz w:val="22"/>
          <w:szCs w:val="22"/>
        </w:rPr>
        <w:t xml:space="preserve">Konec úpravy je </w:t>
      </w:r>
      <w:r w:rsidR="00E15B5F" w:rsidRPr="00FC3949">
        <w:rPr>
          <w:rFonts w:ascii="Arial" w:hAnsi="Arial" w:cs="Arial"/>
          <w:sz w:val="22"/>
          <w:szCs w:val="22"/>
        </w:rPr>
        <w:t xml:space="preserve">za křižovatkou s místní komunikací v km 25,550 provozního staničení před řekou Sázavou. </w:t>
      </w:r>
      <w:r w:rsidR="002E5595" w:rsidRPr="00FC3949">
        <w:rPr>
          <w:rFonts w:ascii="Arial" w:hAnsi="Arial" w:cs="Arial"/>
          <w:sz w:val="22"/>
          <w:szCs w:val="22"/>
        </w:rPr>
        <w:t xml:space="preserve">Celková délka řešeného úseku je dle pasportu </w:t>
      </w:r>
      <w:r w:rsidR="00E15B5F" w:rsidRPr="00FC3949">
        <w:rPr>
          <w:rFonts w:ascii="Arial" w:hAnsi="Arial" w:cs="Arial"/>
          <w:sz w:val="22"/>
          <w:szCs w:val="22"/>
        </w:rPr>
        <w:t>320</w:t>
      </w:r>
      <w:r w:rsidR="00540BE3" w:rsidRPr="00FC3949">
        <w:rPr>
          <w:rFonts w:ascii="Arial" w:hAnsi="Arial" w:cs="Arial"/>
          <w:sz w:val="22"/>
          <w:szCs w:val="22"/>
        </w:rPr>
        <w:t xml:space="preserve"> </w:t>
      </w:r>
      <w:r w:rsidR="00E15B5F" w:rsidRPr="00FC3949">
        <w:rPr>
          <w:rFonts w:ascii="Arial" w:hAnsi="Arial" w:cs="Arial"/>
          <w:sz w:val="22"/>
          <w:szCs w:val="22"/>
        </w:rPr>
        <w:t>m</w:t>
      </w:r>
      <w:r w:rsidR="002E5595" w:rsidRPr="00FC3949">
        <w:rPr>
          <w:rFonts w:ascii="Arial" w:hAnsi="Arial" w:cs="Arial"/>
          <w:sz w:val="22"/>
          <w:szCs w:val="22"/>
        </w:rPr>
        <w:t>. V</w:t>
      </w:r>
      <w:r w:rsidR="00E15B5F" w:rsidRPr="00FC3949">
        <w:rPr>
          <w:rFonts w:ascii="Arial" w:hAnsi="Arial" w:cs="Arial"/>
          <w:sz w:val="22"/>
          <w:szCs w:val="22"/>
        </w:rPr>
        <w:t xml:space="preserve"> řešeném úseku je nutné provést stabilizaci silničního tělesa ve vztahu k přilehlé nemovitosti </w:t>
      </w:r>
      <w:r w:rsidR="00540BE3" w:rsidRPr="00FC3949">
        <w:rPr>
          <w:rFonts w:ascii="Arial" w:hAnsi="Arial" w:cs="Arial"/>
          <w:sz w:val="22"/>
          <w:szCs w:val="22"/>
        </w:rPr>
        <w:br/>
      </w:r>
      <w:r w:rsidR="00E15B5F" w:rsidRPr="00FC3949">
        <w:rPr>
          <w:rFonts w:ascii="Arial" w:hAnsi="Arial" w:cs="Arial"/>
          <w:sz w:val="22"/>
          <w:szCs w:val="22"/>
        </w:rPr>
        <w:t>čp.</w:t>
      </w:r>
      <w:r w:rsidR="00540BE3" w:rsidRPr="00FC3949">
        <w:rPr>
          <w:rFonts w:ascii="Arial" w:hAnsi="Arial" w:cs="Arial"/>
          <w:sz w:val="22"/>
          <w:szCs w:val="22"/>
        </w:rPr>
        <w:t xml:space="preserve"> </w:t>
      </w:r>
      <w:r w:rsidR="00E15B5F" w:rsidRPr="00FC3949">
        <w:rPr>
          <w:rFonts w:ascii="Arial" w:hAnsi="Arial" w:cs="Arial"/>
          <w:sz w:val="22"/>
          <w:szCs w:val="22"/>
        </w:rPr>
        <w:t>6 v délce cca 30</w:t>
      </w:r>
      <w:r w:rsidR="00540BE3" w:rsidRPr="00FC3949">
        <w:rPr>
          <w:rFonts w:ascii="Arial" w:hAnsi="Arial" w:cs="Arial"/>
          <w:sz w:val="22"/>
          <w:szCs w:val="22"/>
        </w:rPr>
        <w:t xml:space="preserve"> </w:t>
      </w:r>
      <w:r w:rsidR="00E15B5F" w:rsidRPr="00FC3949">
        <w:rPr>
          <w:rFonts w:ascii="Arial" w:hAnsi="Arial" w:cs="Arial"/>
          <w:sz w:val="22"/>
          <w:szCs w:val="22"/>
        </w:rPr>
        <w:t>m (technické řešení bude předmětem PD</w:t>
      </w:r>
      <w:r w:rsidR="007E1F68" w:rsidRPr="00FC3949">
        <w:rPr>
          <w:rFonts w:ascii="Arial" w:hAnsi="Arial" w:cs="Arial"/>
          <w:sz w:val="22"/>
          <w:szCs w:val="22"/>
        </w:rPr>
        <w:t xml:space="preserve">, </w:t>
      </w:r>
      <w:r w:rsidR="00E15B5F" w:rsidRPr="00FC3949">
        <w:rPr>
          <w:rFonts w:ascii="Arial" w:hAnsi="Arial" w:cs="Arial"/>
          <w:sz w:val="22"/>
          <w:szCs w:val="22"/>
        </w:rPr>
        <w:t xml:space="preserve">jako nejpravděpodobnější možnost se jeví </w:t>
      </w:r>
      <w:r w:rsidR="00E455FC" w:rsidRPr="00FC3949">
        <w:rPr>
          <w:rFonts w:ascii="Arial" w:hAnsi="Arial" w:cs="Arial"/>
          <w:sz w:val="22"/>
          <w:szCs w:val="22"/>
        </w:rPr>
        <w:t xml:space="preserve">vyztužený svah nebo </w:t>
      </w:r>
      <w:r w:rsidR="00E15B5F" w:rsidRPr="00FC3949">
        <w:rPr>
          <w:rFonts w:ascii="Arial" w:hAnsi="Arial" w:cs="Arial"/>
          <w:sz w:val="22"/>
          <w:szCs w:val="22"/>
        </w:rPr>
        <w:t>úhlová železobetonová zeď)</w:t>
      </w:r>
      <w:r w:rsidR="007E1F68" w:rsidRPr="00FC3949">
        <w:rPr>
          <w:rFonts w:ascii="Arial" w:hAnsi="Arial" w:cs="Arial"/>
          <w:sz w:val="22"/>
          <w:szCs w:val="22"/>
        </w:rPr>
        <w:t xml:space="preserve">. V tomto místě bude nutná i přeložka vodovodu, na kterou je vydáno samostatné stavební povolení (v současné době se prodlužuje </w:t>
      </w:r>
      <w:r w:rsidR="007F5527" w:rsidRPr="00FC3949">
        <w:rPr>
          <w:rFonts w:ascii="Arial" w:hAnsi="Arial" w:cs="Arial"/>
          <w:sz w:val="22"/>
          <w:szCs w:val="22"/>
        </w:rPr>
        <w:t xml:space="preserve">jeho </w:t>
      </w:r>
      <w:r w:rsidR="007E1F68" w:rsidRPr="00FC3949">
        <w:rPr>
          <w:rFonts w:ascii="Arial" w:hAnsi="Arial" w:cs="Arial"/>
          <w:sz w:val="22"/>
          <w:szCs w:val="22"/>
        </w:rPr>
        <w:t xml:space="preserve">platnost, případné úpravy </w:t>
      </w:r>
      <w:r w:rsidR="00F84072" w:rsidRPr="00FC3949">
        <w:rPr>
          <w:rFonts w:ascii="Arial" w:hAnsi="Arial" w:cs="Arial"/>
          <w:sz w:val="22"/>
          <w:szCs w:val="22"/>
        </w:rPr>
        <w:t>budou řešeny</w:t>
      </w:r>
      <w:r w:rsidR="007E1F68" w:rsidRPr="00FC3949">
        <w:rPr>
          <w:rFonts w:ascii="Arial" w:hAnsi="Arial" w:cs="Arial"/>
          <w:sz w:val="22"/>
          <w:szCs w:val="22"/>
        </w:rPr>
        <w:t xml:space="preserve"> změnou stavby před dokončením). </w:t>
      </w:r>
    </w:p>
    <w:p w14:paraId="2C8EFF2E" w14:textId="324849C2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obce </w:t>
      </w:r>
      <w:r w:rsidR="007F5527">
        <w:rPr>
          <w:rFonts w:ascii="Arial" w:hAnsi="Arial" w:cs="Arial"/>
          <w:sz w:val="22"/>
          <w:szCs w:val="22"/>
        </w:rPr>
        <w:t>Sázava (</w:t>
      </w:r>
      <w:r w:rsidR="00FC3949">
        <w:rPr>
          <w:rFonts w:ascii="Arial" w:hAnsi="Arial" w:cs="Arial"/>
          <w:sz w:val="22"/>
          <w:szCs w:val="22"/>
        </w:rPr>
        <w:t>případně</w:t>
      </w:r>
      <w:r w:rsidR="007F5527">
        <w:rPr>
          <w:rFonts w:ascii="Arial" w:hAnsi="Arial" w:cs="Arial"/>
          <w:sz w:val="22"/>
          <w:szCs w:val="22"/>
        </w:rPr>
        <w:t xml:space="preserve"> vlastník</w:t>
      </w:r>
      <w:r w:rsidR="00E03A46">
        <w:rPr>
          <w:rFonts w:ascii="Arial" w:hAnsi="Arial" w:cs="Arial"/>
          <w:sz w:val="22"/>
          <w:szCs w:val="22"/>
        </w:rPr>
        <w:t>a</w:t>
      </w:r>
      <w:r w:rsidR="007F5527">
        <w:rPr>
          <w:rFonts w:ascii="Arial" w:hAnsi="Arial" w:cs="Arial"/>
          <w:sz w:val="22"/>
          <w:szCs w:val="22"/>
        </w:rPr>
        <w:t xml:space="preserve"> zmiňované přilehlé nemovitosti)</w:t>
      </w:r>
      <w:r w:rsidRPr="00F16C1F">
        <w:rPr>
          <w:rFonts w:ascii="Arial" w:hAnsi="Arial" w:cs="Arial"/>
          <w:sz w:val="22"/>
          <w:szCs w:val="22"/>
        </w:rPr>
        <w:t>.</w:t>
      </w:r>
    </w:p>
    <w:p w14:paraId="04E05B43" w14:textId="0C798B3E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Projektové dokumentace v jednotlivých stupních budou koordinovány se záměry obce </w:t>
      </w:r>
      <w:r w:rsidR="007F5527">
        <w:rPr>
          <w:rFonts w:ascii="Arial" w:hAnsi="Arial" w:cs="Arial"/>
          <w:sz w:val="22"/>
          <w:szCs w:val="22"/>
        </w:rPr>
        <w:t>Sázava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1F2F1246" w14:textId="77777777" w:rsidR="00E021D1" w:rsidRDefault="00E021D1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26C4B360" w14:textId="77777777" w:rsidR="00E021D1" w:rsidRDefault="00E021D1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26705B53" w14:textId="77777777" w:rsidR="00E021D1" w:rsidRDefault="00E021D1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2C1E7EC4" w14:textId="4AEDF8D8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 xml:space="preserve">Předpokládaný rozsah stavebních objektů: </w:t>
      </w:r>
    </w:p>
    <w:p w14:paraId="28F1FA53" w14:textId="0C498871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rekonstrukce silnice II/3</w:t>
      </w:r>
      <w:r w:rsidR="007F5527">
        <w:rPr>
          <w:rFonts w:ascii="Arial" w:hAnsi="Arial" w:cs="Arial"/>
          <w:sz w:val="22"/>
          <w:szCs w:val="22"/>
        </w:rPr>
        <w:t>52</w:t>
      </w:r>
      <w:r w:rsidRPr="00F16C1F">
        <w:rPr>
          <w:rFonts w:ascii="Arial" w:hAnsi="Arial" w:cs="Arial"/>
          <w:sz w:val="22"/>
          <w:szCs w:val="22"/>
        </w:rPr>
        <w:t xml:space="preserve"> v průtahu obce </w:t>
      </w:r>
    </w:p>
    <w:p w14:paraId="661D02D0" w14:textId="22FDE90C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</w:t>
      </w:r>
      <w:r w:rsidR="007F5527">
        <w:rPr>
          <w:rFonts w:ascii="Arial" w:hAnsi="Arial" w:cs="Arial"/>
          <w:sz w:val="22"/>
          <w:szCs w:val="22"/>
        </w:rPr>
        <w:t>stabilizace tělesa silnice u přilehlé nemovitosti čp.</w:t>
      </w:r>
      <w:r w:rsidR="00996D9B">
        <w:rPr>
          <w:rFonts w:ascii="Arial" w:hAnsi="Arial" w:cs="Arial"/>
          <w:sz w:val="22"/>
          <w:szCs w:val="22"/>
        </w:rPr>
        <w:t xml:space="preserve"> </w:t>
      </w:r>
      <w:r w:rsidR="007F5527">
        <w:rPr>
          <w:rFonts w:ascii="Arial" w:hAnsi="Arial" w:cs="Arial"/>
          <w:sz w:val="22"/>
          <w:szCs w:val="22"/>
        </w:rPr>
        <w:t>6</w:t>
      </w:r>
    </w:p>
    <w:p w14:paraId="0201DC67" w14:textId="7227D209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úpravy ploch a napojení místních komunikací  </w:t>
      </w:r>
    </w:p>
    <w:p w14:paraId="1C71120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přechodné dopravní značení</w:t>
      </w:r>
    </w:p>
    <w:p w14:paraId="38CDF36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trvalé dopravní značení</w:t>
      </w:r>
    </w:p>
    <w:p w14:paraId="216C0400" w14:textId="24274889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25798701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23D0A14" w14:textId="77777777" w:rsidR="00B55A3B" w:rsidRPr="00B55A3B" w:rsidRDefault="00B55A3B" w:rsidP="00CE3EEE">
      <w:pPr>
        <w:pStyle w:val="Bntext2"/>
        <w:ind w:left="0"/>
        <w:rPr>
          <w:rFonts w:cs="Arial"/>
          <w:i/>
          <w:sz w:val="4"/>
          <w:szCs w:val="4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1ECEC819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7F5527" w:rsidRPr="00951C8A">
        <w:rPr>
          <w:rFonts w:ascii="Arial" w:hAnsi="Arial" w:cs="Arial"/>
          <w:sz w:val="22"/>
          <w:szCs w:val="22"/>
        </w:rPr>
        <w:t>6</w:t>
      </w:r>
      <w:r w:rsidR="009745B1" w:rsidRPr="00951C8A">
        <w:rPr>
          <w:rFonts w:ascii="Arial" w:hAnsi="Arial" w:cs="Arial"/>
          <w:sz w:val="22"/>
          <w:szCs w:val="22"/>
        </w:rPr>
        <w:t>00</w:t>
      </w:r>
      <w:r w:rsidR="00F16C1F" w:rsidRPr="00951C8A">
        <w:rPr>
          <w:rFonts w:ascii="Arial" w:hAnsi="Arial" w:cs="Arial"/>
          <w:sz w:val="22"/>
          <w:szCs w:val="22"/>
        </w:rPr>
        <w:t> </w:t>
      </w:r>
      <w:r w:rsidR="009440F1" w:rsidRPr="00951C8A">
        <w:rPr>
          <w:rFonts w:ascii="Arial" w:hAnsi="Arial" w:cs="Arial"/>
          <w:sz w:val="22"/>
          <w:szCs w:val="22"/>
        </w:rPr>
        <w:t>000</w:t>
      </w:r>
      <w:r w:rsidR="00F16C1F" w:rsidRPr="00951C8A">
        <w:rPr>
          <w:rFonts w:ascii="Arial" w:hAnsi="Arial" w:cs="Arial"/>
          <w:sz w:val="22"/>
          <w:szCs w:val="22"/>
        </w:rPr>
        <w:t>,-</w:t>
      </w:r>
      <w:r w:rsidR="009440F1" w:rsidRPr="00951C8A">
        <w:rPr>
          <w:rFonts w:ascii="Arial" w:hAnsi="Arial" w:cs="Arial"/>
          <w:sz w:val="22"/>
          <w:szCs w:val="22"/>
        </w:rPr>
        <w:t xml:space="preserve"> Kč bez DPH.</w:t>
      </w:r>
    </w:p>
    <w:p w14:paraId="7DDF3813" w14:textId="77777777" w:rsidR="00B55A3B" w:rsidRPr="00951C8A" w:rsidRDefault="00B55A3B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29DD12E9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12B2D4B" w14:textId="77777777" w:rsidR="00B55A3B" w:rsidRDefault="00B55A3B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2DFF4F58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3693AFC5" w14:textId="4B72D66B" w:rsidR="00E021D1" w:rsidRDefault="00E021D1" w:rsidP="000D3953">
      <w:pPr>
        <w:jc w:val="both"/>
        <w:rPr>
          <w:rFonts w:ascii="Arial" w:hAnsi="Arial" w:cs="Arial"/>
          <w:sz w:val="22"/>
          <w:szCs w:val="22"/>
        </w:rPr>
      </w:pPr>
    </w:p>
    <w:p w14:paraId="0F98964C" w14:textId="77777777" w:rsidR="00E021D1" w:rsidRDefault="00E021D1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4D597CE" w:rsidR="00B54B2C" w:rsidRPr="00B54B2C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>
        <w:rPr>
          <w:rFonts w:ascii="Arial" w:hAnsi="Arial" w:cs="Arial"/>
          <w:spacing w:val="2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5DDCD544" w:rsidR="00313904" w:rsidRP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průtahu obcí v minimální délce </w:t>
      </w:r>
      <w:r w:rsidR="007F5527">
        <w:rPr>
          <w:rFonts w:ascii="Arial" w:hAnsi="Arial" w:cs="Arial"/>
          <w:b/>
          <w:spacing w:val="2"/>
          <w:sz w:val="22"/>
          <w:szCs w:val="22"/>
        </w:rPr>
        <w:t>2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5BA83C68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60225864" w14:textId="6890B1F9" w:rsidR="00E021D1" w:rsidRDefault="00E021D1" w:rsidP="00E021D1">
      <w:pPr>
        <w:pStyle w:val="3"/>
      </w:pPr>
    </w:p>
    <w:p w14:paraId="12088875" w14:textId="77777777" w:rsidR="00E021D1" w:rsidRPr="00E021D1" w:rsidRDefault="00E021D1" w:rsidP="00E021D1">
      <w:pPr>
        <w:pStyle w:val="3"/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2A2504F4" w14:textId="7EC759B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1E202BA2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336B7F9" w14:textId="77777777" w:rsidR="00BB774B" w:rsidRPr="00BB774B" w:rsidRDefault="00BB774B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6"/>
          <w:szCs w:val="16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0B0BE24B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FB72A0">
        <w:rPr>
          <w:rFonts w:ascii="Arial" w:eastAsia="MS Mincho" w:hAnsi="Arial" w:cs="Arial"/>
          <w:sz w:val="22"/>
          <w:szCs w:val="22"/>
        </w:rPr>
        <w:t xml:space="preserve"> (počet hodin x hodinová sazba):</w:t>
      </w:r>
      <w:r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04F3775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</w:p>
    <w:p w14:paraId="63B34BF6" w14:textId="71D245B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cena za výkon autorského dozoru v rozsahu dle předmětu plnění </w:t>
      </w:r>
    </w:p>
    <w:p w14:paraId="7075F707" w14:textId="3F555F41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0F283C0E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72711553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="00E021D1">
        <w:rPr>
          <w:rFonts w:cs="Arial"/>
          <w:szCs w:val="22"/>
        </w:rPr>
        <w:br/>
      </w:r>
      <w:r w:rsidRPr="00ED1615">
        <w:rPr>
          <w:rFonts w:cs="Arial"/>
          <w:b/>
          <w:szCs w:val="22"/>
        </w:rPr>
        <w:lastRenderedPageBreak/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</w:t>
      </w:r>
      <w:r w:rsidR="006270BF">
        <w:rPr>
          <w:rFonts w:cs="Arial"/>
          <w:b/>
          <w:szCs w:val="22"/>
        </w:rPr>
        <w:t xml:space="preserve"> </w:t>
      </w:r>
      <w:r w:rsidRPr="001172AC">
        <w:rPr>
          <w:rFonts w:cs="Arial"/>
          <w:b/>
          <w:szCs w:val="22"/>
        </w:rPr>
        <w:t>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160DE04A" w14:textId="77777777" w:rsidR="006270BF" w:rsidRDefault="006270BF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277D74B9" w14:textId="2B0265F3" w:rsidR="004518CC" w:rsidRPr="00675163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675163">
        <w:rPr>
          <w:rFonts w:cs="Arial"/>
          <w:b/>
          <w:szCs w:val="22"/>
        </w:rPr>
        <w:t>Součet ocenění jednotlivých činností uvedených v cenové nabídce bude totožný s nabídkovou cenou uvedenou v návrhu smlouvy o provedení veřejné zakázky.</w:t>
      </w:r>
    </w:p>
    <w:p w14:paraId="64F965A3" w14:textId="61DC33C8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7BB66C2" w14:textId="77777777" w:rsidR="00946ECA" w:rsidRDefault="00946ECA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4C562C30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Pr="00BB774B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 w:val="8"/>
          <w:szCs w:val="8"/>
        </w:rPr>
      </w:pP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7E6BFE84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700D637F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50468659" w14:textId="32986838" w:rsidR="00926A34" w:rsidRPr="00ED1615" w:rsidRDefault="00926A34" w:rsidP="00926A34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="002365D2" w:rsidRPr="002365D2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</w:p>
    <w:p w14:paraId="23F4506C" w14:textId="0658CA7C" w:rsidR="00926A34" w:rsidRPr="00926A3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>
        <w:rPr>
          <w:rFonts w:cs="Arial"/>
          <w:bCs/>
          <w:i/>
          <w:iCs/>
          <w:szCs w:val="22"/>
        </w:rPr>
        <w:t>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5A85B065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55CD0ABA" w14:textId="28FCE230" w:rsidR="00E021D1" w:rsidRDefault="00E021D1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087E273A" w14:textId="77777777" w:rsidR="00E021D1" w:rsidRPr="008A4F6F" w:rsidRDefault="00E021D1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lastRenderedPageBreak/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C6CDF49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973686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3DC9F208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2AEEDBA4" w14:textId="305ED01D" w:rsidR="00B54B2C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stavby</w:t>
      </w:r>
      <w:r w:rsidR="00FB72A0">
        <w:rPr>
          <w:rFonts w:ascii="Arial" w:hAnsi="Arial" w:cs="Arial"/>
          <w:sz w:val="22"/>
          <w:szCs w:val="22"/>
        </w:rPr>
        <w:t xml:space="preserve"> (zákres do mapy.cz)</w:t>
      </w:r>
      <w:r>
        <w:rPr>
          <w:rFonts w:ascii="Arial" w:hAnsi="Arial" w:cs="Arial"/>
          <w:sz w:val="22"/>
          <w:szCs w:val="22"/>
        </w:rPr>
        <w:t>,</w:t>
      </w:r>
    </w:p>
    <w:p w14:paraId="4062BA6F" w14:textId="77777777" w:rsidR="00E021D1" w:rsidRDefault="00E021D1" w:rsidP="00E021D1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08066FC6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BB774B" w:rsidRPr="006410EC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30116DF9" w14:textId="77777777" w:rsidR="00BB774B" w:rsidRDefault="00BB774B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64C4166E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0"/>
      <w:r>
        <w:t>y</w:t>
      </w:r>
      <w:r w:rsidR="00F63462" w:rsidRPr="00F37AAE">
        <w:t xml:space="preserve"> veřejné zakázky</w:t>
      </w:r>
      <w:bookmarkEnd w:id="11"/>
    </w:p>
    <w:p w14:paraId="51FBCD26" w14:textId="116CBF97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FB72A0" w:rsidRPr="000458AC">
        <w:rPr>
          <w:rFonts w:ascii="Arial" w:hAnsi="Arial" w:cs="Arial"/>
          <w:b/>
          <w:sz w:val="22"/>
          <w:szCs w:val="22"/>
        </w:rPr>
        <w:t>2</w:t>
      </w:r>
      <w:r w:rsidR="003F30EF" w:rsidRPr="000458AC">
        <w:rPr>
          <w:rFonts w:ascii="Arial" w:hAnsi="Arial" w:cs="Arial"/>
          <w:b/>
          <w:sz w:val="22"/>
          <w:szCs w:val="22"/>
        </w:rPr>
        <w:t>0</w:t>
      </w:r>
      <w:r w:rsidR="00FF298B" w:rsidRPr="000458AC">
        <w:rPr>
          <w:rFonts w:ascii="Arial" w:hAnsi="Arial" w:cs="Arial"/>
          <w:b/>
          <w:sz w:val="22"/>
          <w:szCs w:val="22"/>
        </w:rPr>
        <w:t xml:space="preserve">. </w:t>
      </w:r>
      <w:r w:rsidR="00FB72A0" w:rsidRPr="000458AC">
        <w:rPr>
          <w:rFonts w:ascii="Arial" w:hAnsi="Arial" w:cs="Arial"/>
          <w:b/>
          <w:sz w:val="22"/>
          <w:szCs w:val="22"/>
        </w:rPr>
        <w:t>12</w:t>
      </w:r>
      <w:r w:rsidR="000458AC" w:rsidRPr="000458AC">
        <w:rPr>
          <w:rFonts w:ascii="Arial" w:hAnsi="Arial" w:cs="Arial"/>
          <w:b/>
          <w:sz w:val="22"/>
          <w:szCs w:val="22"/>
        </w:rPr>
        <w:t>. 2021 do 10</w:t>
      </w:r>
      <w:r w:rsidR="00FF298B" w:rsidRPr="000458AC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0458AC">
        <w:rPr>
          <w:rFonts w:ascii="Arial" w:hAnsi="Arial" w:cs="Arial"/>
          <w:b/>
          <w:sz w:val="22"/>
          <w:szCs w:val="22"/>
        </w:rPr>
        <w:t>hod.</w:t>
      </w:r>
      <w:r w:rsidR="008162FC" w:rsidRPr="000458A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3D29B282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lastRenderedPageBreak/>
        <w:t>Hodnocení nabíd</w:t>
      </w:r>
      <w:r w:rsidR="00501A98">
        <w:t>e</w:t>
      </w:r>
      <w:r w:rsidRPr="0084306D">
        <w:t>k</w:t>
      </w:r>
    </w:p>
    <w:p w14:paraId="0C685AA8" w14:textId="7F978CDD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2365D2"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 w:rsidR="002365D2">
        <w:rPr>
          <w:rFonts w:ascii="Arial" w:hAnsi="Arial" w:cs="Arial"/>
          <w:sz w:val="22"/>
          <w:szCs w:val="22"/>
        </w:rPr>
        <w:t>nejnižší</w:t>
      </w:r>
      <w:r w:rsidR="002365D2" w:rsidRPr="008B0F37">
        <w:rPr>
          <w:rFonts w:ascii="Arial" w:hAnsi="Arial" w:cs="Arial"/>
          <w:sz w:val="22"/>
          <w:szCs w:val="22"/>
        </w:rPr>
        <w:t xml:space="preserve"> hodnota.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6A647146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2A5A85C4" w14:textId="77777777" w:rsidR="00BB774B" w:rsidRDefault="00BB774B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95"/>
      <w:bookmarkStart w:id="13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2"/>
      <w:bookmarkEnd w:id="13"/>
    </w:p>
    <w:p w14:paraId="40A0E9A3" w14:textId="034EAEDE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FB72A0">
        <w:rPr>
          <w:rFonts w:ascii="Arial" w:hAnsi="Arial" w:cs="Arial"/>
          <w:sz w:val="22"/>
          <w:szCs w:val="22"/>
        </w:rPr>
        <w:t>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>silnice II/3</w:t>
      </w:r>
      <w:r w:rsidR="00FB72A0">
        <w:rPr>
          <w:rFonts w:ascii="Arial" w:hAnsi="Arial" w:cs="Arial"/>
          <w:sz w:val="22"/>
          <w:szCs w:val="22"/>
        </w:rPr>
        <w:t>52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110290">
        <w:rPr>
          <w:rFonts w:ascii="Arial" w:hAnsi="Arial" w:cs="Arial"/>
          <w:sz w:val="22"/>
          <w:szCs w:val="22"/>
        </w:rPr>
        <w:t>Sázava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C972BF3" w14:textId="77777777" w:rsidR="00BB774B" w:rsidRPr="008A4F6F" w:rsidRDefault="00BB774B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5C8B8494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6F6A04BE" w14:textId="77777777" w:rsidR="00BB774B" w:rsidRDefault="00BB774B" w:rsidP="00B13019">
      <w:pPr>
        <w:pStyle w:val="bntext"/>
        <w:spacing w:before="120" w:line="288" w:lineRule="auto"/>
        <w:rPr>
          <w:szCs w:val="22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B774B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60A89D98" w14:textId="77777777" w:rsidR="00BB774B" w:rsidRPr="00E021D1" w:rsidRDefault="00BB774B" w:rsidP="00BB774B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</w:p>
    <w:p w14:paraId="78D15999" w14:textId="326ED330" w:rsidR="00B13019" w:rsidRDefault="00B13019" w:rsidP="00BB774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604B0340" w14:textId="77777777" w:rsidR="00BB774B" w:rsidRPr="00E021D1" w:rsidRDefault="00BB774B" w:rsidP="00BB774B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</w:p>
    <w:p w14:paraId="126729E9" w14:textId="2FE0DB54" w:rsidR="009722E1" w:rsidRPr="00623D2A" w:rsidRDefault="008A4E7E" w:rsidP="00BB774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0C944501" w14:textId="77777777" w:rsidR="00BB774B" w:rsidRPr="00E021D1" w:rsidRDefault="00BB774B" w:rsidP="00BB774B">
      <w:pPr>
        <w:pStyle w:val="bntext"/>
        <w:tabs>
          <w:tab w:val="clear" w:pos="1418"/>
        </w:tabs>
        <w:spacing w:line="288" w:lineRule="auto"/>
        <w:rPr>
          <w:spacing w:val="2"/>
          <w:sz w:val="8"/>
          <w:szCs w:val="8"/>
        </w:rPr>
      </w:pPr>
    </w:p>
    <w:p w14:paraId="42DEEDDC" w14:textId="49DBB3F9" w:rsidR="00B13019" w:rsidRPr="00623D2A" w:rsidRDefault="00B13019" w:rsidP="00BB774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lastRenderedPageBreak/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24FEFFCB" w14:textId="77777777" w:rsidR="00E021D1" w:rsidRPr="00E021D1" w:rsidRDefault="00E021D1" w:rsidP="00BB774B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  <w:bookmarkStart w:id="14" w:name="_GoBack"/>
      <w:bookmarkEnd w:id="14"/>
    </w:p>
    <w:p w14:paraId="7D57F818" w14:textId="58C5529C" w:rsidR="00B13019" w:rsidRPr="00623D2A" w:rsidRDefault="00B13019" w:rsidP="00BB774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78A1D59F" w14:textId="77777777" w:rsidR="00BB774B" w:rsidRPr="00E021D1" w:rsidRDefault="00BB774B" w:rsidP="00BB774B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8"/>
          <w:szCs w:val="8"/>
        </w:rPr>
      </w:pPr>
    </w:p>
    <w:p w14:paraId="32D5B57E" w14:textId="267F31AF" w:rsidR="00AB6B80" w:rsidRDefault="00B13019" w:rsidP="00BB774B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1BA8CDB" w:rsidR="00AB6B80" w:rsidRPr="00E021D1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8"/>
          <w:szCs w:val="8"/>
        </w:rPr>
      </w:pPr>
    </w:p>
    <w:p w14:paraId="4BA07784" w14:textId="64F9272D" w:rsidR="00B13019" w:rsidRPr="00623D2A" w:rsidRDefault="00B13019" w:rsidP="00BB774B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1D7BE4C0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35035B17" w14:textId="77777777" w:rsidR="00BB774B" w:rsidRDefault="00BB774B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1"/>
      <w:footerReference w:type="default" r:id="rId12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E605C" w14:textId="77777777" w:rsidR="00C51570" w:rsidRDefault="00C51570">
      <w:r>
        <w:separator/>
      </w:r>
    </w:p>
  </w:endnote>
  <w:endnote w:type="continuationSeparator" w:id="0">
    <w:p w14:paraId="12E8637F" w14:textId="77777777" w:rsidR="00C51570" w:rsidRDefault="00C51570">
      <w:r>
        <w:continuationSeparator/>
      </w:r>
    </w:p>
  </w:endnote>
  <w:endnote w:type="continuationNotice" w:id="1">
    <w:p w14:paraId="7289BC3D" w14:textId="77777777" w:rsidR="00C51570" w:rsidRDefault="00C51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61234F12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021D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021D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B48A8" w14:textId="77777777" w:rsidR="00C51570" w:rsidRDefault="00C51570">
      <w:r>
        <w:separator/>
      </w:r>
    </w:p>
  </w:footnote>
  <w:footnote w:type="continuationSeparator" w:id="0">
    <w:p w14:paraId="43B8D28E" w14:textId="77777777" w:rsidR="00C51570" w:rsidRDefault="00C51570">
      <w:r>
        <w:continuationSeparator/>
      </w:r>
    </w:p>
  </w:footnote>
  <w:footnote w:type="continuationNotice" w:id="1">
    <w:p w14:paraId="53E0AE28" w14:textId="77777777" w:rsidR="00C51570" w:rsidRDefault="00C51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7"/>
  </w:num>
  <w:num w:numId="3">
    <w:abstractNumId w:val="19"/>
  </w:num>
  <w:num w:numId="4">
    <w:abstractNumId w:val="14"/>
  </w:num>
  <w:num w:numId="5">
    <w:abstractNumId w:val="3"/>
  </w:num>
  <w:num w:numId="6">
    <w:abstractNumId w:val="4"/>
  </w:num>
  <w:num w:numId="7">
    <w:abstractNumId w:val="11"/>
  </w:num>
  <w:num w:numId="8">
    <w:abstractNumId w:val="1"/>
  </w:num>
  <w:num w:numId="9">
    <w:abstractNumId w:val="5"/>
  </w:num>
  <w:num w:numId="10">
    <w:abstractNumId w:val="17"/>
  </w:num>
  <w:num w:numId="11">
    <w:abstractNumId w:val="9"/>
  </w:num>
  <w:num w:numId="12">
    <w:abstractNumId w:val="18"/>
  </w:num>
  <w:num w:numId="13">
    <w:abstractNumId w:val="6"/>
  </w:num>
  <w:num w:numId="14">
    <w:abstractNumId w:val="2"/>
  </w:num>
  <w:num w:numId="15">
    <w:abstractNumId w:val="10"/>
  </w:num>
  <w:num w:numId="16">
    <w:abstractNumId w:val="16"/>
  </w:num>
  <w:num w:numId="17">
    <w:abstractNumId w:val="17"/>
  </w:num>
  <w:num w:numId="18">
    <w:abstractNumId w:val="0"/>
  </w:num>
  <w:num w:numId="19">
    <w:abstractNumId w:val="13"/>
  </w:num>
  <w:num w:numId="20">
    <w:abstractNumId w:val="17"/>
  </w:num>
  <w:num w:numId="2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5FE7"/>
    <w:rsid w:val="0003724C"/>
    <w:rsid w:val="00040761"/>
    <w:rsid w:val="00041635"/>
    <w:rsid w:val="000422E4"/>
    <w:rsid w:val="000425B1"/>
    <w:rsid w:val="0004284B"/>
    <w:rsid w:val="000434F4"/>
    <w:rsid w:val="00044A98"/>
    <w:rsid w:val="000458AC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578E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893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76B9"/>
    <w:rsid w:val="00110290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A02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1F65A9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1CB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5D2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6218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79E"/>
    <w:rsid w:val="004A2DE3"/>
    <w:rsid w:val="004A2FC7"/>
    <w:rsid w:val="004A6E5C"/>
    <w:rsid w:val="004B05BE"/>
    <w:rsid w:val="004B1371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0BE3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BF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5163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97097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0EFD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1F68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527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43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6ECA"/>
    <w:rsid w:val="00947F03"/>
    <w:rsid w:val="00951C8A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D9B"/>
    <w:rsid w:val="00996EE2"/>
    <w:rsid w:val="0099773D"/>
    <w:rsid w:val="00997B44"/>
    <w:rsid w:val="00997BC7"/>
    <w:rsid w:val="009A222F"/>
    <w:rsid w:val="009A3821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1EC0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5A3B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4E1D"/>
    <w:rsid w:val="00BA53EF"/>
    <w:rsid w:val="00BA5ADA"/>
    <w:rsid w:val="00BA77B6"/>
    <w:rsid w:val="00BB3DC5"/>
    <w:rsid w:val="00BB4595"/>
    <w:rsid w:val="00BB6AC1"/>
    <w:rsid w:val="00BB774B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3D8A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1D1"/>
    <w:rsid w:val="00E0245F"/>
    <w:rsid w:val="00E027BF"/>
    <w:rsid w:val="00E028BB"/>
    <w:rsid w:val="00E03A46"/>
    <w:rsid w:val="00E03F94"/>
    <w:rsid w:val="00E0422E"/>
    <w:rsid w:val="00E04CBC"/>
    <w:rsid w:val="00E075E1"/>
    <w:rsid w:val="00E107A2"/>
    <w:rsid w:val="00E111F8"/>
    <w:rsid w:val="00E11C73"/>
    <w:rsid w:val="00E12E62"/>
    <w:rsid w:val="00E139A8"/>
    <w:rsid w:val="00E13C20"/>
    <w:rsid w:val="00E13DA4"/>
    <w:rsid w:val="00E14330"/>
    <w:rsid w:val="00E15168"/>
    <w:rsid w:val="00E15B5F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55F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072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B72A0"/>
    <w:rsid w:val="00FC012F"/>
    <w:rsid w:val="00FC0997"/>
    <w:rsid w:val="00FC1DFB"/>
    <w:rsid w:val="00FC30D8"/>
    <w:rsid w:val="00FC3712"/>
    <w:rsid w:val="00FC3949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AE595-83C9-43F1-B4AC-D297A65F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2493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18650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Procházková Lenka Bc.</cp:lastModifiedBy>
  <cp:revision>26</cp:revision>
  <cp:lastPrinted>2019-05-17T11:25:00Z</cp:lastPrinted>
  <dcterms:created xsi:type="dcterms:W3CDTF">2021-12-01T12:43:00Z</dcterms:created>
  <dcterms:modified xsi:type="dcterms:W3CDTF">2021-12-02T09:36:00Z</dcterms:modified>
</cp:coreProperties>
</file>