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B34" w:rsidRPr="00356B68" w:rsidRDefault="00074B34" w:rsidP="00074B34">
      <w:pPr>
        <w:pStyle w:val="Nadpis1"/>
        <w:spacing w:before="120" w:after="120"/>
        <w:ind w:right="866"/>
        <w:jc w:val="center"/>
        <w:rPr>
          <w:rFonts w:ascii="Arial" w:hAnsi="Arial" w:cs="Arial"/>
          <w:sz w:val="24"/>
          <w:szCs w:val="24"/>
        </w:rPr>
      </w:pPr>
    </w:p>
    <w:p w:rsidR="00074B34" w:rsidRPr="00DA4818" w:rsidRDefault="00074B34" w:rsidP="00074B34">
      <w:pPr>
        <w:pStyle w:val="Nadpis1"/>
        <w:spacing w:before="120" w:after="120" w:line="360" w:lineRule="auto"/>
        <w:ind w:right="868"/>
        <w:jc w:val="center"/>
        <w:rPr>
          <w:rFonts w:ascii="Arial" w:hAnsi="Arial" w:cs="Arial"/>
          <w:spacing w:val="60"/>
          <w:sz w:val="28"/>
          <w:szCs w:val="28"/>
        </w:rPr>
      </w:pPr>
      <w:r w:rsidRPr="00DA4818">
        <w:rPr>
          <w:rFonts w:ascii="Arial" w:hAnsi="Arial" w:cs="Arial"/>
          <w:spacing w:val="60"/>
          <w:sz w:val="28"/>
          <w:szCs w:val="28"/>
        </w:rPr>
        <w:t>RÁMCOVÁ DOHODA</w:t>
      </w:r>
    </w:p>
    <w:p w:rsidR="00074B34" w:rsidRPr="007E523D" w:rsidRDefault="00074B34" w:rsidP="00074B34">
      <w:pPr>
        <w:pStyle w:val="Nadpis1"/>
        <w:spacing w:before="240" w:after="120" w:line="360" w:lineRule="auto"/>
        <w:ind w:right="868"/>
        <w:jc w:val="center"/>
        <w:rPr>
          <w:rFonts w:ascii="Arial" w:hAnsi="Arial" w:cs="Arial"/>
          <w:bCs/>
          <w:color w:val="FF0000"/>
          <w:sz w:val="20"/>
        </w:rPr>
      </w:pPr>
      <w:r>
        <w:rPr>
          <w:rFonts w:ascii="Arial" w:hAnsi="Arial" w:cs="Arial"/>
          <w:bCs/>
          <w:sz w:val="20"/>
        </w:rPr>
        <w:t>Č</w:t>
      </w:r>
      <w:r w:rsidRPr="007E523D">
        <w:rPr>
          <w:rFonts w:ascii="Arial" w:hAnsi="Arial" w:cs="Arial"/>
          <w:bCs/>
          <w:sz w:val="20"/>
        </w:rPr>
        <w:t>ást</w:t>
      </w:r>
      <w:r w:rsidRPr="007E523D">
        <w:rPr>
          <w:rFonts w:ascii="Arial" w:eastAsia="Batang" w:hAnsi="Arial" w:cs="Arial"/>
          <w:b w:val="0"/>
          <w:bCs/>
          <w:color w:val="C00000"/>
          <w:sz w:val="20"/>
        </w:rPr>
        <w:t xml:space="preserve"> </w:t>
      </w:r>
      <w:r w:rsidRPr="007E523D">
        <w:rPr>
          <w:rFonts w:ascii="Arial" w:eastAsia="Batang" w:hAnsi="Arial" w:cs="Arial"/>
          <w:b w:val="0"/>
          <w:bCs/>
          <w:color w:val="C00000"/>
          <w:sz w:val="20"/>
          <w:highlight w:val="lightGray"/>
        </w:rPr>
        <w:t>…………………………………………………………………….</w:t>
      </w:r>
    </w:p>
    <w:p w:rsidR="00074B34" w:rsidRPr="007E523D" w:rsidRDefault="00074B34" w:rsidP="00074B34">
      <w:pPr>
        <w:spacing w:before="240" w:after="0" w:line="240" w:lineRule="auto"/>
        <w:outlineLvl w:val="3"/>
        <w:rPr>
          <w:rFonts w:ascii="Arial" w:hAnsi="Arial" w:cs="Arial"/>
          <w:b/>
          <w:snapToGrid w:val="0"/>
          <w:color w:val="000000"/>
          <w:sz w:val="20"/>
          <w:szCs w:val="20"/>
        </w:rPr>
      </w:pPr>
    </w:p>
    <w:p w:rsidR="00074B34" w:rsidRPr="007E523D" w:rsidRDefault="00074B34" w:rsidP="00074B34">
      <w:pPr>
        <w:spacing w:before="240" w:after="0" w:line="240" w:lineRule="auto"/>
        <w:outlineLvl w:val="3"/>
        <w:rPr>
          <w:rFonts w:ascii="Arial" w:hAnsi="Arial" w:cs="Arial"/>
          <w:b/>
          <w:snapToGrid w:val="0"/>
          <w:color w:val="000000"/>
          <w:sz w:val="20"/>
          <w:szCs w:val="20"/>
        </w:rPr>
      </w:pPr>
    </w:p>
    <w:p w:rsidR="00074B34" w:rsidRPr="007E523D" w:rsidRDefault="00074B34" w:rsidP="00074B34">
      <w:pPr>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rsidR="00365824" w:rsidRPr="00C05EF7" w:rsidRDefault="00365824" w:rsidP="00365824">
      <w:pPr>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rsidR="00365824" w:rsidRPr="00C05EF7" w:rsidRDefault="00365824" w:rsidP="00365824">
      <w:pPr>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rsidR="00074B34" w:rsidRPr="007E523D" w:rsidRDefault="00074B34" w:rsidP="00074B34">
      <w:pPr>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rsidR="00074B34" w:rsidRPr="007E523D" w:rsidRDefault="00074B34" w:rsidP="00074B34">
      <w:pPr>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rsidR="00074B34" w:rsidRPr="007E523D" w:rsidRDefault="00074B34" w:rsidP="00074B34">
      <w:pPr>
        <w:spacing w:after="0"/>
        <w:rPr>
          <w:rFonts w:ascii="Arial" w:eastAsia="Batang" w:hAnsi="Arial" w:cs="Arial"/>
          <w:b/>
          <w:sz w:val="20"/>
          <w:szCs w:val="20"/>
        </w:rPr>
      </w:pPr>
    </w:p>
    <w:p w:rsidR="00074B34" w:rsidRPr="007E523D" w:rsidRDefault="00074B34" w:rsidP="00074B34">
      <w:pPr>
        <w:spacing w:after="0"/>
        <w:rPr>
          <w:rFonts w:ascii="Arial" w:eastAsia="Batang" w:hAnsi="Arial" w:cs="Arial"/>
          <w:b/>
          <w:sz w:val="20"/>
          <w:szCs w:val="20"/>
        </w:rPr>
      </w:pPr>
      <w:r w:rsidRPr="007E523D">
        <w:rPr>
          <w:rFonts w:ascii="Arial" w:eastAsia="Batang" w:hAnsi="Arial" w:cs="Arial"/>
          <w:b/>
          <w:sz w:val="20"/>
          <w:szCs w:val="20"/>
        </w:rPr>
        <w:t>a</w:t>
      </w:r>
    </w:p>
    <w:p w:rsidR="00074B34" w:rsidRPr="007E523D" w:rsidRDefault="00074B34" w:rsidP="00074B34">
      <w:pPr>
        <w:spacing w:after="0"/>
        <w:rPr>
          <w:rFonts w:ascii="Arial" w:eastAsia="Batang" w:hAnsi="Arial" w:cs="Arial"/>
          <w:sz w:val="20"/>
          <w:szCs w:val="20"/>
        </w:rPr>
      </w:pPr>
    </w:p>
    <w:p w:rsidR="00074B34" w:rsidRPr="00365824" w:rsidRDefault="00074B34" w:rsidP="00074B34">
      <w:pPr>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rsidR="00365824" w:rsidRPr="00365824" w:rsidRDefault="00365824" w:rsidP="00365824">
      <w:pPr>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rsidR="00365824" w:rsidRPr="00365824" w:rsidRDefault="00365824" w:rsidP="00365824">
      <w:pPr>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36582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Default="00074B34" w:rsidP="00074B34">
      <w:pPr>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rsidR="00074B34" w:rsidRPr="008F6DF6" w:rsidRDefault="00074B34" w:rsidP="00074B34">
      <w:pPr>
        <w:spacing w:after="120"/>
        <w:rPr>
          <w:rFonts w:ascii="Arial" w:eastAsia="Batang" w:hAnsi="Arial" w:cs="Arial"/>
          <w:sz w:val="20"/>
          <w:szCs w:val="20"/>
        </w:rPr>
      </w:pPr>
    </w:p>
    <w:p w:rsidR="00074B34"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odst. 2 a násl. zák. č. 89/2012 Sb., občanského zákoníku, ve znění pozdějších právních předpisů (OZ) a § 131 a násl. zákona č. 134/2016 Sb., o zadávání veřejných zakázek, ve znění pozdějších předpisů (dále jen „ZZVZ“), tuto</w:t>
      </w:r>
    </w:p>
    <w:p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p>
    <w:p w:rsidR="00074B34" w:rsidRPr="008F6DF6" w:rsidRDefault="00074B34" w:rsidP="00074B34">
      <w:pPr>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CC19ED">
      <w:pPr>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této </w:t>
      </w:r>
      <w:r w:rsidRPr="007E523D">
        <w:rPr>
          <w:rFonts w:ascii="Arial" w:hAnsi="Arial" w:cs="Arial"/>
          <w:b/>
          <w:sz w:val="20"/>
          <w:szCs w:val="20"/>
        </w:rPr>
        <w:t>Rámcové dohody na dodávku kationaktivní asfaltové emulze v </w:t>
      </w:r>
      <w:r w:rsidRPr="002379D8">
        <w:rPr>
          <w:rFonts w:ascii="Arial" w:hAnsi="Arial" w:cs="Arial"/>
          <w:b/>
          <w:sz w:val="20"/>
          <w:szCs w:val="20"/>
        </w:rPr>
        <w:t>roce 202</w:t>
      </w:r>
      <w:r w:rsidR="00EB0B9C">
        <w:rPr>
          <w:rFonts w:ascii="Arial" w:hAnsi="Arial" w:cs="Arial"/>
          <w:b/>
          <w:sz w:val="20"/>
          <w:szCs w:val="20"/>
        </w:rPr>
        <w:t>3</w:t>
      </w:r>
      <w:r w:rsidRPr="007E523D">
        <w:rPr>
          <w:rFonts w:ascii="Arial" w:hAnsi="Arial" w:cs="Arial"/>
          <w:b/>
          <w:sz w:val="20"/>
          <w:szCs w:val="20"/>
        </w:rPr>
        <w:t xml:space="preserve"> </w:t>
      </w:r>
      <w:r w:rsidRPr="007E523D">
        <w:rPr>
          <w:rFonts w:ascii="Arial" w:hAnsi="Arial" w:cs="Arial"/>
          <w:sz w:val="20"/>
          <w:szCs w:val="20"/>
        </w:rPr>
        <w:t xml:space="preserve">(dále </w:t>
      </w:r>
      <w:r>
        <w:rPr>
          <w:rFonts w:ascii="Arial" w:hAnsi="Arial" w:cs="Arial"/>
          <w:sz w:val="20"/>
          <w:szCs w:val="20"/>
        </w:rPr>
        <w:t>„</w:t>
      </w:r>
      <w:r w:rsidRPr="007E523D">
        <w:rPr>
          <w:rFonts w:ascii="Arial" w:hAnsi="Arial" w:cs="Arial"/>
          <w:sz w:val="20"/>
          <w:szCs w:val="20"/>
        </w:rPr>
        <w:t>zboží</w:t>
      </w:r>
      <w:r>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lastRenderedPageBreak/>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I.</w:t>
      </w:r>
    </w:p>
    <w:p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rsidR="00074B34" w:rsidRPr="007E523D" w:rsidRDefault="00074B34" w:rsidP="00CC19ED">
      <w:pPr>
        <w:pStyle w:val="Odstavecseseznamem"/>
        <w:keepNext/>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dílčích plnění dodávat kupujícímu </w:t>
      </w:r>
      <w:r w:rsidRPr="007E523D">
        <w:rPr>
          <w:rFonts w:ascii="Arial" w:hAnsi="Arial" w:cs="Arial"/>
          <w:b/>
          <w:sz w:val="20"/>
          <w:szCs w:val="20"/>
        </w:rPr>
        <w:t>kationaktivní asfaltovou emulzi, jak je uvedeno v následující tabulce: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597"/>
        <w:gridCol w:w="2597"/>
      </w:tblGrid>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2622" w:type="dxa"/>
            <w:shd w:val="clear" w:color="auto" w:fill="auto"/>
            <w:vAlign w:val="center"/>
          </w:tcPr>
          <w:p w:rsidR="002379D8" w:rsidRPr="00DA4818" w:rsidRDefault="00074B34" w:rsidP="003B2852">
            <w:pPr>
              <w:spacing w:before="120" w:after="0" w:line="240" w:lineRule="auto"/>
              <w:jc w:val="center"/>
              <w:rPr>
                <w:rFonts w:ascii="Arial" w:hAnsi="Arial" w:cs="Arial"/>
                <w:b/>
                <w:color w:val="000000" w:themeColor="text1"/>
                <w:sz w:val="20"/>
                <w:szCs w:val="20"/>
              </w:rPr>
            </w:pPr>
            <w:r w:rsidRPr="00DA4818">
              <w:rPr>
                <w:rFonts w:ascii="Arial" w:hAnsi="Arial" w:cs="Arial"/>
                <w:b/>
                <w:color w:val="000000" w:themeColor="text1"/>
                <w:sz w:val="20"/>
                <w:szCs w:val="20"/>
              </w:rPr>
              <w:t>Označení emulze podle ČSN EN 13808</w:t>
            </w:r>
            <w:r w:rsidR="002379D8" w:rsidRPr="00DA4818">
              <w:rPr>
                <w:rFonts w:ascii="Arial" w:hAnsi="Arial" w:cs="Arial"/>
                <w:b/>
                <w:color w:val="000000" w:themeColor="text1"/>
                <w:sz w:val="20"/>
                <w:szCs w:val="20"/>
              </w:rPr>
              <w:t xml:space="preserve">; </w:t>
            </w:r>
          </w:p>
          <w:p w:rsidR="00074B34" w:rsidRPr="00EB0B9C" w:rsidRDefault="002379D8" w:rsidP="003B2852">
            <w:pPr>
              <w:spacing w:after="120" w:line="240" w:lineRule="auto"/>
              <w:jc w:val="center"/>
              <w:rPr>
                <w:rFonts w:ascii="Arial" w:hAnsi="Arial" w:cs="Arial"/>
                <w:b/>
                <w:color w:val="000000" w:themeColor="text1"/>
                <w:sz w:val="20"/>
                <w:szCs w:val="20"/>
                <w:highlight w:val="yellow"/>
              </w:rPr>
            </w:pPr>
            <w:r w:rsidRPr="00DA4818">
              <w:rPr>
                <w:rFonts w:ascii="Arial" w:hAnsi="Arial" w:cs="Arial"/>
                <w:b/>
                <w:color w:val="000000" w:themeColor="text1"/>
                <w:sz w:val="20"/>
                <w:szCs w:val="20"/>
              </w:rPr>
              <w:t>ČSN 73 6132</w:t>
            </w:r>
          </w:p>
        </w:tc>
        <w:tc>
          <w:tcPr>
            <w:tcW w:w="2622"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r>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Spojovací postřik</w:t>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Nátěr</w:t>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Výspravy tryskovou metodou</w:t>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rsidR="00074B34" w:rsidRPr="002379D8" w:rsidRDefault="00074B34" w:rsidP="00CC19ED">
      <w:pPr>
        <w:spacing w:before="240" w:after="240" w:line="240" w:lineRule="auto"/>
        <w:ind w:left="567"/>
        <w:jc w:val="both"/>
        <w:rPr>
          <w:rFonts w:ascii="Arial" w:hAnsi="Arial" w:cs="Arial"/>
          <w:sz w:val="20"/>
          <w:szCs w:val="20"/>
        </w:rPr>
      </w:pPr>
      <w:r w:rsidRPr="002379D8">
        <w:rPr>
          <w:rFonts w:ascii="Arial" w:hAnsi="Arial" w:cs="Arial"/>
          <w:sz w:val="20"/>
          <w:szCs w:val="20"/>
        </w:rPr>
        <w:t>dále také emulze nebo zboží splňující technické podmínky uvedené v přílohách B1 a B2 Dohody.</w:t>
      </w:r>
    </w:p>
    <w:p w:rsidR="00074B34" w:rsidRPr="002379D8"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u emulze určené pro nátěry a výspravy tryskovou metodou garantuje </w:t>
      </w:r>
      <w:r w:rsidRPr="002379D8">
        <w:rPr>
          <w:rFonts w:ascii="Arial" w:hAnsi="Arial" w:cs="Arial"/>
          <w:b/>
          <w:sz w:val="20"/>
          <w:szCs w:val="20"/>
        </w:rPr>
        <w:t xml:space="preserve">přilnavost emulze ke kamenivu </w:t>
      </w:r>
      <w:r w:rsidRPr="002379D8">
        <w:rPr>
          <w:rFonts w:ascii="Arial" w:hAnsi="Arial" w:cs="Arial"/>
          <w:sz w:val="20"/>
          <w:szCs w:val="20"/>
        </w:rPr>
        <w:t>z určeného kamenolomu, jak uvedl v nabídce na veřejnou zakázku, minimálně 90 %.</w:t>
      </w:r>
    </w:p>
    <w:p w:rsidR="00074B34" w:rsidRPr="00334DFB"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334DFB">
        <w:rPr>
          <w:rFonts w:ascii="Arial" w:hAnsi="Arial" w:cs="Arial"/>
          <w:sz w:val="20"/>
          <w:szCs w:val="20"/>
        </w:rPr>
        <w:t xml:space="preserve">Prodávající u zboží garantuje </w:t>
      </w:r>
      <w:r w:rsidRPr="00334DFB">
        <w:rPr>
          <w:rFonts w:ascii="Arial" w:hAnsi="Arial" w:cs="Arial"/>
          <w:b/>
          <w:sz w:val="20"/>
          <w:szCs w:val="20"/>
        </w:rPr>
        <w:t xml:space="preserve">skladovatelnost </w:t>
      </w:r>
      <w:r w:rsidRPr="00334DFB">
        <w:rPr>
          <w:rFonts w:ascii="Arial" w:hAnsi="Arial" w:cs="Arial"/>
          <w:sz w:val="20"/>
          <w:szCs w:val="20"/>
        </w:rPr>
        <w:t xml:space="preserve">minimálně 6 týdnů.  </w:t>
      </w:r>
    </w:p>
    <w:p w:rsidR="00074B34" w:rsidRPr="00DA4818"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334DFB">
        <w:rPr>
          <w:rFonts w:ascii="Arial" w:hAnsi="Arial" w:cs="Arial"/>
          <w:sz w:val="20"/>
          <w:szCs w:val="20"/>
        </w:rPr>
        <w:t xml:space="preserve">Prodávající prohlašuje, že dodané zboží, </w:t>
      </w:r>
      <w:r w:rsidRPr="00921E17">
        <w:rPr>
          <w:rFonts w:ascii="Arial" w:hAnsi="Arial" w:cs="Arial"/>
          <w:b/>
          <w:sz w:val="20"/>
          <w:szCs w:val="20"/>
        </w:rPr>
        <w:t>odpovídá platným předpisům a technickým normám</w:t>
      </w:r>
      <w:r w:rsidRPr="00921E17">
        <w:rPr>
          <w:rFonts w:ascii="Arial" w:hAnsi="Arial" w:cs="Arial"/>
          <w:sz w:val="20"/>
          <w:szCs w:val="20"/>
        </w:rPr>
        <w:t xml:space="preserve">, zejména </w:t>
      </w:r>
      <w:r w:rsidRPr="00DA4818">
        <w:rPr>
          <w:rFonts w:ascii="Arial" w:hAnsi="Arial" w:cs="Arial"/>
          <w:sz w:val="20"/>
          <w:szCs w:val="20"/>
        </w:rPr>
        <w:t>ČSN EN 13808, ČSN 73 6132 a atestu kvality, jak dokládá při první dodávce a na požádání zástupce kupujícího i při dalších dodávkách Bezpečnostním listem zboží v souladu s Nařízením Evropského parlamentu a Rady (ES) č. 1907/2006 a Prohlášením o vlastnostech nabízeného výrobku v souladu s Nařízením Evropského parlamentu a Rady (EU) č. 305/2011, ve znění pozdějších předpisů.</w:t>
      </w:r>
    </w:p>
    <w:p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se zavazuje po dobu platnosti této Dohody odebírat od prodávajícího v rozsahu dílčích kupních smluv předmětné zboží a zaplatit prodávajícímu kupní cenu zboží. </w:t>
      </w:r>
    </w:p>
    <w:p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si vyhrazuje právo použít i vlastní dopravu. </w:t>
      </w:r>
    </w:p>
    <w:p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Předmětem této Dohody je též doprava zboží do místa plnění, není-li dále stanoveno jinak.</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Pr>
          <w:rFonts w:ascii="Arial" w:hAnsi="Arial" w:cs="Arial"/>
          <w:sz w:val="20"/>
          <w:szCs w:val="20"/>
        </w:rPr>
        <w:t>i</w:t>
      </w:r>
      <w:r w:rsidRPr="007E523D">
        <w:rPr>
          <w:rFonts w:ascii="Arial" w:hAnsi="Arial" w:cs="Arial"/>
          <w:sz w:val="20"/>
          <w:szCs w:val="20"/>
        </w:rPr>
        <w:t xml:space="preserve">, že ve vztahu k uzavírání dílčích kupních smluv zákonnou povinnost dle </w:t>
      </w:r>
      <w:r w:rsidRPr="007E523D">
        <w:rPr>
          <w:rFonts w:ascii="Arial" w:hAnsi="Arial" w:cs="Arial"/>
          <w:b/>
          <w:sz w:val="20"/>
          <w:szCs w:val="20"/>
        </w:rPr>
        <w:t>§ 5 odst. 2 zákona č. 340/2015 Sb., o zvláštních podmínkách účinnosti některých smluv, uveřejňování těchto smluv a o registru smluv, v platném znění</w:t>
      </w:r>
      <w:r w:rsidRPr="007E523D">
        <w:rPr>
          <w:rFonts w:ascii="Arial" w:hAnsi="Arial" w:cs="Arial"/>
          <w:sz w:val="20"/>
          <w:szCs w:val="20"/>
        </w:rPr>
        <w:t xml:space="preserve"> splní bez zbytečného odkladu kupující.</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Kupující odešle e-mailem prodávajícímu předběžnou objednávku s předpokládaným množstvím odběru na následující kalendářní měsíc. Prodávající se zavazuje potvrdit měsíční objednávku do 3 pracovních dnů od doručení. </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požaduje realizaci dílčí dodávky zboží nejpozději do 18 hodin od odeslání e-mailové objednávky na adresu prodávajícího. Kupující je v takovém případě povinen objednávku učinit do 12:00 hodin dne, který předchází dni realizaci objednané dodávky a prodávající je povinen takovou objednávku potvrdit do dvou hodin od přijetí objednávky.  </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si vyhrazuje právo změnit nebo zrušit  objem dílčí dodávky zboží v závislosti na klimatických podmínkách.</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00D72E22">
        <w:rPr>
          <w:rFonts w:ascii="Arial" w:hAnsi="Arial" w:cs="Arial"/>
          <w:sz w:val="20"/>
          <w:szCs w:val="20"/>
        </w:rPr>
        <w:t>odst.</w:t>
      </w:r>
      <w:r w:rsidRPr="007E523D">
        <w:rPr>
          <w:rFonts w:ascii="Arial" w:hAnsi="Arial" w:cs="Arial"/>
          <w:b/>
          <w:sz w:val="20"/>
          <w:szCs w:val="20"/>
        </w:rPr>
        <w:t xml:space="preserve"> </w:t>
      </w:r>
      <w:proofErr w:type="gramStart"/>
      <w:r w:rsidRPr="007E523D">
        <w:rPr>
          <w:rFonts w:ascii="Arial" w:hAnsi="Arial" w:cs="Arial"/>
          <w:b/>
          <w:sz w:val="20"/>
          <w:szCs w:val="20"/>
        </w:rPr>
        <w:t>2.5.</w:t>
      </w:r>
      <w:r w:rsidRPr="007E523D">
        <w:rPr>
          <w:rFonts w:ascii="Arial" w:hAnsi="Arial" w:cs="Arial"/>
          <w:sz w:val="20"/>
          <w:szCs w:val="20"/>
        </w:rPr>
        <w:t xml:space="preserve"> této</w:t>
      </w:r>
      <w:proofErr w:type="gramEnd"/>
      <w:r w:rsidRPr="007E523D">
        <w:rPr>
          <w:rFonts w:ascii="Arial" w:hAnsi="Arial" w:cs="Arial"/>
          <w:sz w:val="20"/>
          <w:szCs w:val="20"/>
        </w:rPr>
        <w:t xml:space="preserve"> Dohody. Návrh na uzavření objednávky bude realizován formou e-mailové zprávy. Potvrzení objednávky učiní prodávající formou e-mailové zprávy. Kontaktní údaje pro odeslání objednávky kupujícím a potvrzení objednávky prodávajícím jsou uvedeny v </w:t>
      </w:r>
      <w:r w:rsidRPr="007E523D">
        <w:rPr>
          <w:rFonts w:ascii="Arial" w:hAnsi="Arial" w:cs="Arial"/>
          <w:b/>
          <w:sz w:val="20"/>
          <w:szCs w:val="20"/>
        </w:rPr>
        <w:t xml:space="preserve">příloze A1 </w:t>
      </w:r>
      <w:r w:rsidRPr="007E523D">
        <w:rPr>
          <w:rFonts w:ascii="Arial" w:hAnsi="Arial" w:cs="Arial"/>
          <w:sz w:val="20"/>
          <w:szCs w:val="20"/>
        </w:rPr>
        <w:t>této Dohody.</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Návrh kupujícího na uzavření objednávky musí obsahovat specifikaci, množství zboží a cenu s DPH v souladu s Dohodou, dodací lhůtu, místo plnění a zda si vyhrazuje vlastní dopravu, případně další nezbytné údaje.</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Jestliže z obsahu uzavřené objednávky nebude zřejmé ujednání smluvních stran o kupní ceně, dopravních podmínkách, místu dodání, platebních podmínkách apod., řídí se právní vztahy mezi smluvními stranami ustanoveními této Dohody.</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Objednávky a jejich potvrzování ze strany prodávajícího jsou činěny pouze v pracovní dny; lhůty v tomto článku se počítají v pracovních dnech a v sobotu, neděli nebo ve svátek neběží.  </w:t>
      </w:r>
    </w:p>
    <w:p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Jednotlivé dílčí smlouvy budou vždy minimálně na množství 3 tuny zboží, nebude-li konkrétně dohodnuto jinak.</w:t>
      </w:r>
    </w:p>
    <w:p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rsidR="00074B34" w:rsidRPr="007E523D" w:rsidRDefault="00074B34" w:rsidP="00074B34">
      <w:pPr>
        <w:pStyle w:val="a"/>
        <w:keepNext/>
        <w:spacing w:before="120" w:after="120"/>
        <w:rPr>
          <w:rFonts w:ascii="Arial" w:hAnsi="Arial" w:cs="Arial"/>
          <w:snapToGrid w:val="0"/>
          <w:sz w:val="20"/>
          <w:szCs w:val="20"/>
        </w:rPr>
      </w:pPr>
      <w:r w:rsidRPr="007E523D">
        <w:rPr>
          <w:rFonts w:ascii="Arial" w:hAnsi="Arial" w:cs="Arial"/>
          <w:snapToGrid w:val="0"/>
          <w:sz w:val="20"/>
          <w:szCs w:val="20"/>
        </w:rPr>
        <w:t>Místo plnění</w:t>
      </w:r>
    </w:p>
    <w:p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Místem plnění je místo uvedené v objednávce nebo jednotlivá cestmistrovství kupujícího: </w:t>
      </w:r>
      <w:r w:rsidRPr="004C0A0A">
        <w:rPr>
          <w:rFonts w:ascii="Arial" w:eastAsia="Batang" w:hAnsi="Arial" w:cs="Arial"/>
          <w:bCs/>
          <w:color w:val="000000" w:themeColor="text1"/>
          <w:sz w:val="20"/>
          <w:szCs w:val="20"/>
          <w:highlight w:val="lightGray"/>
        </w:rPr>
        <w:t>………………………………</w:t>
      </w:r>
    </w:p>
    <w:p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V případě využití podmínek </w:t>
      </w:r>
      <w:r w:rsidRPr="007E523D">
        <w:rPr>
          <w:rFonts w:ascii="Arial" w:hAnsi="Arial" w:cs="Arial"/>
          <w:sz w:val="20"/>
          <w:szCs w:val="20"/>
          <w:shd w:val="clear" w:color="auto" w:fill="FFFFFF"/>
        </w:rPr>
        <w:t xml:space="preserve">dle </w:t>
      </w:r>
      <w:r w:rsidR="00D86FB1" w:rsidRPr="00D72E22">
        <w:rPr>
          <w:rFonts w:ascii="Arial" w:hAnsi="Arial" w:cs="Arial"/>
          <w:sz w:val="20"/>
          <w:szCs w:val="20"/>
          <w:shd w:val="clear" w:color="auto" w:fill="FFFFFF"/>
        </w:rPr>
        <w:t>odst</w:t>
      </w:r>
      <w:r w:rsidRPr="00D72E22">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1.</w:t>
      </w:r>
      <w:r w:rsidR="00303433">
        <w:rPr>
          <w:rFonts w:ascii="Arial" w:hAnsi="Arial" w:cs="Arial"/>
          <w:b/>
          <w:sz w:val="20"/>
          <w:szCs w:val="20"/>
          <w:shd w:val="clear" w:color="auto" w:fill="FFFFFF"/>
        </w:rPr>
        <w:t>6</w:t>
      </w:r>
      <w:r w:rsidRPr="007E523D">
        <w:rPr>
          <w:rFonts w:ascii="Arial" w:hAnsi="Arial" w:cs="Arial"/>
          <w:b/>
          <w:sz w:val="20"/>
          <w:szCs w:val="20"/>
          <w:shd w:val="clear" w:color="auto" w:fill="FFFFFF"/>
        </w:rPr>
        <w:t>.</w:t>
      </w:r>
      <w:r w:rsidRPr="007E523D">
        <w:rPr>
          <w:rFonts w:ascii="Arial" w:hAnsi="Arial" w:cs="Arial"/>
          <w:sz w:val="20"/>
          <w:szCs w:val="20"/>
        </w:rPr>
        <w:t xml:space="preserve"> je</w:t>
      </w:r>
      <w:proofErr w:type="gramEnd"/>
      <w:r w:rsidRPr="007E523D">
        <w:rPr>
          <w:rFonts w:ascii="Arial" w:hAnsi="Arial" w:cs="Arial"/>
          <w:sz w:val="20"/>
          <w:szCs w:val="20"/>
        </w:rPr>
        <w:t xml:space="preserve"> místem plnění místo expedice prodávajícího: </w:t>
      </w:r>
      <w:r w:rsidRPr="004C0A0A">
        <w:rPr>
          <w:rFonts w:ascii="Arial" w:eastAsia="Batang" w:hAnsi="Arial" w:cs="Arial"/>
          <w:bCs/>
          <w:color w:val="000000" w:themeColor="text1"/>
          <w:sz w:val="20"/>
          <w:szCs w:val="20"/>
          <w:highlight w:val="cyan"/>
        </w:rPr>
        <w:t>………………………………</w:t>
      </w:r>
    </w:p>
    <w:p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7E523D">
        <w:rPr>
          <w:rFonts w:ascii="Arial" w:hAnsi="Arial" w:cs="Arial"/>
          <w:b/>
          <w:sz w:val="20"/>
          <w:szCs w:val="20"/>
        </w:rPr>
        <w:t>příloze A1</w:t>
      </w:r>
      <w:r w:rsidRPr="007E523D">
        <w:rPr>
          <w:rFonts w:ascii="Arial" w:hAnsi="Arial" w:cs="Arial"/>
          <w:sz w:val="20"/>
          <w:szCs w:val="20"/>
        </w:rPr>
        <w:t xml:space="preserve"> této Dohody. Uvedené osoby jsou oprávněny za sebe určit své zástupce.</w:t>
      </w:r>
    </w:p>
    <w:p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Účastnící dohody se vzájemně dohodl</w:t>
      </w:r>
      <w:r w:rsidR="0003023F">
        <w:rPr>
          <w:rFonts w:ascii="Arial" w:hAnsi="Arial" w:cs="Arial"/>
          <w:sz w:val="20"/>
          <w:szCs w:val="20"/>
        </w:rPr>
        <w:t>i</w:t>
      </w:r>
      <w:r w:rsidRPr="007E523D">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IV.</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rsidR="00074B34" w:rsidRPr="007E523D" w:rsidRDefault="00074B34" w:rsidP="00CC19ED">
      <w:pPr>
        <w:pStyle w:val="Odstavecseseznamem"/>
        <w:keepNext/>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9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560"/>
        <w:gridCol w:w="1559"/>
        <w:gridCol w:w="1559"/>
        <w:gridCol w:w="1553"/>
      </w:tblGrid>
      <w:tr w:rsidR="00074B34" w:rsidRPr="007E523D" w:rsidTr="00DA4818">
        <w:trPr>
          <w:trHeight w:val="386"/>
        </w:trPr>
        <w:tc>
          <w:tcPr>
            <w:tcW w:w="2835" w:type="dxa"/>
            <w:vMerge w:val="restart"/>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1560" w:type="dxa"/>
            <w:vMerge w:val="restart"/>
            <w:shd w:val="clear" w:color="auto" w:fill="auto"/>
            <w:vAlign w:val="center"/>
          </w:tcPr>
          <w:p w:rsidR="00074B34" w:rsidRDefault="00074B34" w:rsidP="003B2852">
            <w:pPr>
              <w:spacing w:before="120"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Označení emulze podle </w:t>
            </w:r>
          </w:p>
          <w:p w:rsidR="003B2852" w:rsidRDefault="003B2852" w:rsidP="003B2852">
            <w:pPr>
              <w:spacing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ČSN EN 13808; </w:t>
            </w:r>
          </w:p>
          <w:p w:rsidR="003B2852" w:rsidRPr="002379D8" w:rsidRDefault="003B2852" w:rsidP="003B2852">
            <w:pPr>
              <w:spacing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ČSN</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73</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6132</w:t>
            </w:r>
          </w:p>
        </w:tc>
        <w:tc>
          <w:tcPr>
            <w:tcW w:w="1559" w:type="dxa"/>
            <w:vMerge w:val="restart"/>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c>
          <w:tcPr>
            <w:tcW w:w="3112" w:type="dxa"/>
            <w:gridSpan w:val="2"/>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Cena za 1 tunu v Kč bez DPH</w:t>
            </w:r>
          </w:p>
        </w:tc>
      </w:tr>
      <w:tr w:rsidR="00074B34" w:rsidRPr="007E523D" w:rsidTr="00DA4818">
        <w:trPr>
          <w:trHeight w:val="386"/>
        </w:trPr>
        <w:tc>
          <w:tcPr>
            <w:tcW w:w="2835" w:type="dxa"/>
            <w:vMerge/>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60" w:type="dxa"/>
            <w:vMerge/>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vMerge/>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bez dopravy</w:t>
            </w:r>
          </w:p>
        </w:tc>
        <w:tc>
          <w:tcPr>
            <w:tcW w:w="1553"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včetně dopravy</w:t>
            </w:r>
          </w:p>
        </w:tc>
      </w:tr>
      <w:tr w:rsidR="002379D8" w:rsidRPr="007E523D" w:rsidTr="00DA4818">
        <w:trPr>
          <w:trHeight w:val="999"/>
        </w:trPr>
        <w:tc>
          <w:tcPr>
            <w:tcW w:w="2835" w:type="dxa"/>
            <w:shd w:val="clear" w:color="auto" w:fill="auto"/>
            <w:vAlign w:val="center"/>
          </w:tcPr>
          <w:p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Spojovací postřik</w:t>
            </w:r>
          </w:p>
          <w:p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(C 60 B3, C 60 B4</w:t>
            </w:r>
            <w:r w:rsidR="00334DFB" w:rsidRPr="00DA4818">
              <w:rPr>
                <w:rFonts w:ascii="Arial" w:hAnsi="Arial" w:cs="Arial"/>
                <w:b/>
                <w:color w:val="000000" w:themeColor="text1"/>
                <w:sz w:val="20"/>
                <w:szCs w:val="20"/>
              </w:rPr>
              <w:t xml:space="preserve">, </w:t>
            </w:r>
            <w:r w:rsidR="00334DFB" w:rsidRPr="00334DFB">
              <w:rPr>
                <w:rFonts w:ascii="Arial" w:hAnsi="Arial" w:cs="Arial"/>
                <w:b/>
                <w:sz w:val="20"/>
                <w:szCs w:val="20"/>
              </w:rPr>
              <w:t>C 60 B5</w:t>
            </w:r>
            <w:r w:rsidRPr="00DA4818">
              <w:rPr>
                <w:rFonts w:ascii="Arial" w:hAnsi="Arial" w:cs="Arial"/>
                <w:b/>
                <w:color w:val="000000" w:themeColor="text1"/>
                <w:sz w:val="20"/>
                <w:szCs w:val="20"/>
              </w:rPr>
              <w:t>)</w:t>
            </w:r>
          </w:p>
        </w:tc>
        <w:tc>
          <w:tcPr>
            <w:tcW w:w="1560" w:type="dxa"/>
            <w:shd w:val="clear" w:color="auto" w:fill="auto"/>
            <w:vAlign w:val="center"/>
          </w:tcPr>
          <w:p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3" w:type="dxa"/>
            <w:shd w:val="clear" w:color="auto" w:fill="auto"/>
            <w:vAlign w:val="center"/>
          </w:tcPr>
          <w:p w:rsidR="002379D8" w:rsidRPr="003B2852" w:rsidRDefault="003B2852" w:rsidP="002379D8">
            <w:pPr>
              <w:spacing w:before="120" w:after="120" w:line="240" w:lineRule="auto"/>
              <w:jc w:val="center"/>
              <w:rPr>
                <w:rFonts w:ascii="Arial" w:hAnsi="Arial" w:cs="Arial"/>
                <w:color w:val="000000" w:themeColor="text1"/>
                <w:sz w:val="20"/>
                <w:szCs w:val="20"/>
                <w:lang w:val="en-US"/>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rsidTr="00DA4818">
        <w:trPr>
          <w:trHeight w:val="999"/>
        </w:trPr>
        <w:tc>
          <w:tcPr>
            <w:tcW w:w="2835" w:type="dxa"/>
            <w:shd w:val="clear" w:color="auto" w:fill="auto"/>
            <w:vAlign w:val="center"/>
          </w:tcPr>
          <w:p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Nátěr</w:t>
            </w:r>
          </w:p>
          <w:p w:rsidR="002379D8" w:rsidRPr="00DA4818" w:rsidRDefault="002379D8" w:rsidP="00334DFB">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w:t>
            </w:r>
            <w:r w:rsidR="00E465AB" w:rsidRPr="00DA4818">
              <w:rPr>
                <w:rFonts w:ascii="Arial" w:hAnsi="Arial" w:cs="Arial"/>
                <w:b/>
                <w:color w:val="000000" w:themeColor="text1"/>
                <w:sz w:val="20"/>
                <w:szCs w:val="20"/>
              </w:rPr>
              <w:t xml:space="preserve">C </w:t>
            </w:r>
            <w:r w:rsidRPr="00DA4818">
              <w:rPr>
                <w:rFonts w:ascii="Arial" w:hAnsi="Arial" w:cs="Arial"/>
                <w:b/>
                <w:color w:val="000000" w:themeColor="text1"/>
                <w:sz w:val="20"/>
                <w:szCs w:val="20"/>
              </w:rPr>
              <w:t>65 B3, C65 B4)</w:t>
            </w:r>
          </w:p>
        </w:tc>
        <w:tc>
          <w:tcPr>
            <w:tcW w:w="1560"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rsidTr="00DA4818">
        <w:trPr>
          <w:trHeight w:val="999"/>
        </w:trPr>
        <w:tc>
          <w:tcPr>
            <w:tcW w:w="2835" w:type="dxa"/>
            <w:shd w:val="clear" w:color="auto" w:fill="auto"/>
            <w:vAlign w:val="center"/>
          </w:tcPr>
          <w:p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Výspravy tryskovou metodou</w:t>
            </w:r>
          </w:p>
          <w:p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w:t>
            </w:r>
            <w:r w:rsidR="00E465AB" w:rsidRPr="00DA4818">
              <w:rPr>
                <w:rFonts w:ascii="Arial" w:hAnsi="Arial" w:cs="Arial"/>
                <w:b/>
                <w:color w:val="000000" w:themeColor="text1"/>
                <w:sz w:val="20"/>
                <w:szCs w:val="20"/>
              </w:rPr>
              <w:t xml:space="preserve">C </w:t>
            </w:r>
            <w:r w:rsidRPr="00DA4818">
              <w:rPr>
                <w:rFonts w:ascii="Arial" w:hAnsi="Arial" w:cs="Arial"/>
                <w:b/>
                <w:color w:val="000000" w:themeColor="text1"/>
                <w:sz w:val="20"/>
                <w:szCs w:val="20"/>
              </w:rPr>
              <w:t>65 B3, C65 B4, C65 B5)</w:t>
            </w:r>
          </w:p>
        </w:tc>
        <w:tc>
          <w:tcPr>
            <w:tcW w:w="1560"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rsidR="002379D8" w:rsidRPr="003B2852" w:rsidRDefault="002379D8" w:rsidP="003B2852">
            <w:pPr>
              <w:spacing w:before="120" w:after="120" w:line="240" w:lineRule="auto"/>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bl>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Uvedené jednotkové ceny jsou konečné, nepřekročitelné pro daný předmět dohody. </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Cena včetně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V případě využití podmínek dle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1.6.</w:t>
      </w:r>
      <w:r w:rsidR="00807674">
        <w:rPr>
          <w:rFonts w:ascii="Arial" w:hAnsi="Arial" w:cs="Arial"/>
          <w:b/>
          <w:sz w:val="20"/>
          <w:szCs w:val="20"/>
          <w:shd w:val="clear" w:color="auto" w:fill="FFFFFF"/>
        </w:rPr>
        <w:t>,</w:t>
      </w:r>
      <w:r w:rsidRPr="007E523D">
        <w:rPr>
          <w:rFonts w:ascii="Arial" w:hAnsi="Arial" w:cs="Arial"/>
          <w:sz w:val="20"/>
          <w:szCs w:val="20"/>
        </w:rPr>
        <w:t xml:space="preserve"> cena</w:t>
      </w:r>
      <w:proofErr w:type="gramEnd"/>
      <w:r w:rsidRPr="007E523D">
        <w:rPr>
          <w:rFonts w:ascii="Arial" w:hAnsi="Arial" w:cs="Arial"/>
          <w:sz w:val="20"/>
          <w:szCs w:val="20"/>
        </w:rPr>
        <w:t xml:space="preserve"> za plnění bez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r w:rsidR="00D86FB1">
        <w:rPr>
          <w:rFonts w:ascii="Arial" w:hAnsi="Arial" w:cs="Arial"/>
          <w:sz w:val="20"/>
          <w:szCs w:val="20"/>
        </w:rPr>
        <w:t>odst</w:t>
      </w:r>
      <w:r w:rsidRPr="007E523D">
        <w:rPr>
          <w:rFonts w:ascii="Arial" w:hAnsi="Arial" w:cs="Arial"/>
          <w:b/>
          <w:sz w:val="20"/>
          <w:szCs w:val="20"/>
          <w:shd w:val="clear" w:color="auto" w:fill="FFFFFF"/>
        </w:rPr>
        <w:t>. 4.3.</w:t>
      </w:r>
      <w:r w:rsidRPr="007E523D">
        <w:rPr>
          <w:rFonts w:ascii="Arial" w:hAnsi="Arial" w:cs="Arial"/>
          <w:sz w:val="20"/>
          <w:szCs w:val="20"/>
        </w:rPr>
        <w:t xml:space="preserve"> se nepoužije.</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4.1.</w:t>
      </w:r>
      <w:r w:rsidRPr="007E523D">
        <w:rPr>
          <w:rFonts w:ascii="Arial" w:hAnsi="Arial" w:cs="Arial"/>
          <w:sz w:val="20"/>
          <w:szCs w:val="20"/>
        </w:rPr>
        <w:t xml:space="preserve"> této</w:t>
      </w:r>
      <w:proofErr w:type="gramEnd"/>
      <w:r w:rsidRPr="007E523D">
        <w:rPr>
          <w:rFonts w:ascii="Arial" w:hAnsi="Arial" w:cs="Arial"/>
          <w:sz w:val="20"/>
          <w:szCs w:val="20"/>
        </w:rPr>
        <w:t xml:space="preserve"> Dohody okamžikem dodání zboží kupujícímu nebo prvním dnem prodlení kupujícího s převzetím dodávaného zboží ve smyslu dílčí kupní smlouvy.</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 sjednané ceně bez DPH bude účtována daň z přidané hodnoty v zákonné výši; prodávající odpovídá za to, že sazba daně z přidané hodnoty je stanovena k aktuálnímu datu v souladu s platnými právními předpisy.</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7E523D">
        <w:rPr>
          <w:rFonts w:ascii="Arial" w:hAnsi="Arial" w:cs="Arial"/>
          <w:b/>
          <w:sz w:val="20"/>
          <w:szCs w:val="20"/>
        </w:rPr>
        <w:t>§ 28 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rsidR="00074B34" w:rsidRPr="007E523D" w:rsidRDefault="00074B34" w:rsidP="00CC19ED">
      <w:pPr>
        <w:numPr>
          <w:ilvl w:val="0"/>
          <w:numId w:val="4"/>
        </w:numPr>
        <w:overflowPunct w:val="0"/>
        <w:autoSpaceDE w:val="0"/>
        <w:autoSpaceDN w:val="0"/>
        <w:adjustRightInd w:val="0"/>
        <w:spacing w:before="240" w:after="240" w:line="240" w:lineRule="auto"/>
        <w:ind w:left="567" w:hanging="567"/>
        <w:jc w:val="both"/>
        <w:textAlignment w:val="baseline"/>
        <w:rPr>
          <w:rFonts w:ascii="Arial" w:hAnsi="Arial" w:cs="Arial"/>
          <w:b/>
          <w:snapToGrid w:val="0"/>
          <w:color w:val="000000"/>
          <w:sz w:val="20"/>
          <w:szCs w:val="20"/>
        </w:rPr>
      </w:pPr>
      <w:r w:rsidRPr="007E523D">
        <w:rPr>
          <w:rFonts w:ascii="Arial" w:hAnsi="Arial" w:cs="Arial"/>
          <w:snapToGrid w:val="0"/>
          <w:color w:val="000000"/>
          <w:sz w:val="20"/>
          <w:szCs w:val="20"/>
        </w:rPr>
        <w:t>Kupující přijímá i elektronické faktury, a to ve formátech XML nebo PDF. V takovém případě je prodávající povinen elektronickou fakturu zaslat kupujícímu na email</w:t>
      </w:r>
      <w:r w:rsidRPr="007E523D">
        <w:rPr>
          <w:rFonts w:ascii="Arial" w:hAnsi="Arial" w:cs="Arial"/>
          <w:b/>
          <w:snapToGrid w:val="0"/>
          <w:color w:val="000000"/>
          <w:sz w:val="20"/>
          <w:szCs w:val="20"/>
        </w:rPr>
        <w:t xml:space="preserve"> </w:t>
      </w:r>
      <w:hyperlink r:id="rId7" w:history="1">
        <w:r w:rsidRPr="006F0346">
          <w:rPr>
            <w:rStyle w:val="Hypertextovodkaz"/>
            <w:rFonts w:ascii="Arial" w:hAnsi="Arial" w:cs="Arial"/>
            <w:b/>
            <w:snapToGrid w:val="0"/>
            <w:color w:val="000000"/>
            <w:sz w:val="20"/>
            <w:szCs w:val="20"/>
            <w:u w:val="none"/>
          </w:rPr>
          <w:t>ksusv@ksusv.cz</w:t>
        </w:r>
      </w:hyperlink>
      <w:r w:rsidRPr="006F0346">
        <w:rPr>
          <w:rFonts w:ascii="Arial" w:hAnsi="Arial" w:cs="Arial"/>
          <w:b/>
          <w:snapToGrid w:val="0"/>
          <w:color w:val="000000"/>
          <w:sz w:val="20"/>
          <w:szCs w:val="20"/>
        </w:rPr>
        <w:t xml:space="preserve"> .</w:t>
      </w:r>
      <w:r w:rsidRPr="007E523D">
        <w:rPr>
          <w:rFonts w:ascii="Arial" w:hAnsi="Arial" w:cs="Arial"/>
          <w:b/>
          <w:snapToGrid w:val="0"/>
          <w:color w:val="000000"/>
          <w:sz w:val="20"/>
          <w:szCs w:val="20"/>
        </w:rPr>
        <w:t xml:space="preserve"> </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Dodací podmínky </w:t>
      </w:r>
    </w:p>
    <w:p w:rsidR="00074B34" w:rsidRPr="007E523D" w:rsidRDefault="00074B34" w:rsidP="00CC19ED">
      <w:pPr>
        <w:pStyle w:val="Odstavecseseznamem"/>
        <w:keepNext/>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Účastnící dohody se vzájemně dohodl</w:t>
      </w:r>
      <w:r>
        <w:rPr>
          <w:rFonts w:ascii="Arial" w:hAnsi="Arial" w:cs="Arial"/>
          <w:sz w:val="20"/>
          <w:szCs w:val="20"/>
        </w:rPr>
        <w:t>i</w:t>
      </w:r>
      <w:r w:rsidRPr="007E523D">
        <w:rPr>
          <w:rFonts w:ascii="Arial" w:hAnsi="Arial" w:cs="Arial"/>
          <w:sz w:val="20"/>
          <w:szCs w:val="20"/>
        </w:rPr>
        <w:t>, že zboží bude dodáno prodávajícím kupujícímu, na místo plnění uvedené v dílčí objednávce v pracovní dny v době od 06:00 do 14:30 hodin, není-li v dílčí kupní smlouvě sjednáno jinak.</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napToGrid w:val="0"/>
          <w:color w:val="000000"/>
          <w:sz w:val="20"/>
          <w:szCs w:val="20"/>
        </w:rPr>
        <w:t xml:space="preserve">Prodávající je povinen dodat zboží ve sjednaném termínu po odsouhlasení dílčí smlouvy (objednávky). </w:t>
      </w:r>
      <w:r w:rsidRPr="007E523D">
        <w:rPr>
          <w:rFonts w:ascii="Arial" w:hAnsi="Arial" w:cs="Arial"/>
          <w:sz w:val="20"/>
          <w:szCs w:val="20"/>
        </w:rPr>
        <w:t>V případě prodlení prodávajícího s dodáním zboží je prodávající povinen zaplatit kupujícímu smluvní pokutu ve výš</w:t>
      </w:r>
      <w:bookmarkStart w:id="0" w:name="_GoBack"/>
      <w:bookmarkEnd w:id="0"/>
      <w:r w:rsidRPr="007E523D">
        <w:rPr>
          <w:rFonts w:ascii="Arial" w:hAnsi="Arial" w:cs="Arial"/>
          <w:sz w:val="20"/>
          <w:szCs w:val="20"/>
        </w:rPr>
        <w:t xml:space="preserve">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Pro případ porušení uvedených smluvních povinností jsou mezi smluvními stranami sjednány dle </w:t>
      </w:r>
      <w:r w:rsidR="004A6E87">
        <w:rPr>
          <w:rFonts w:ascii="Arial" w:hAnsi="Arial" w:cs="Arial"/>
          <w:b/>
          <w:snapToGrid w:val="0"/>
          <w:color w:val="000000"/>
          <w:sz w:val="20"/>
          <w:szCs w:val="20"/>
        </w:rPr>
        <w:t>§ 2048 O</w:t>
      </w:r>
      <w:r w:rsidRPr="007E523D">
        <w:rPr>
          <w:rFonts w:ascii="Arial" w:hAnsi="Arial" w:cs="Arial"/>
          <w:b/>
          <w:snapToGrid w:val="0"/>
          <w:color w:val="000000"/>
          <w:sz w:val="20"/>
          <w:szCs w:val="20"/>
        </w:rPr>
        <w:t>Z</w:t>
      </w:r>
      <w:r w:rsidRPr="007E523D">
        <w:rPr>
          <w:rFonts w:ascii="Arial" w:hAnsi="Arial" w:cs="Arial"/>
          <w:snapToGrid w:val="0"/>
          <w:color w:val="000000"/>
          <w:sz w:val="20"/>
          <w:szCs w:val="20"/>
        </w:rPr>
        <w:t xml:space="preserve"> tyto výše uvedené smluvní pokuty, jejichž sjednáním není dle </w:t>
      </w:r>
      <w:r w:rsidRPr="007E523D">
        <w:rPr>
          <w:rFonts w:ascii="Arial" w:hAnsi="Arial" w:cs="Arial"/>
          <w:b/>
          <w:snapToGrid w:val="0"/>
          <w:color w:val="000000"/>
          <w:sz w:val="20"/>
          <w:szCs w:val="20"/>
        </w:rPr>
        <w:t>§ 2050 OZ</w:t>
      </w:r>
      <w:r w:rsidRPr="007E523D">
        <w:rPr>
          <w:rFonts w:ascii="Arial" w:hAnsi="Arial" w:cs="Arial"/>
          <w:snapToGrid w:val="0"/>
          <w:color w:val="000000"/>
          <w:sz w:val="20"/>
          <w:szCs w:val="20"/>
        </w:rPr>
        <w:t xml:space="preserve"> dotčen nárok kupujícího na náhradu škody způsobené porušením povinnosti, zajištěné smluvní pokutou.</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Pohledávka kupujícího na zaplacení smluvní pokuty může být započítána s pohledávkou prodávajícího na zaplacení ceny. </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7E523D">
        <w:rPr>
          <w:rFonts w:ascii="Arial" w:hAnsi="Arial" w:cs="Arial"/>
          <w:sz w:val="20"/>
          <w:szCs w:val="20"/>
          <w:shd w:val="clear" w:color="auto" w:fill="FFFFFF"/>
        </w:rPr>
        <w:t xml:space="preserve">podle </w:t>
      </w:r>
      <w:r w:rsidR="00D86FB1" w:rsidRPr="00D86FB1">
        <w:rPr>
          <w:rFonts w:ascii="Arial" w:hAnsi="Arial" w:cs="Arial"/>
          <w:sz w:val="20"/>
          <w:szCs w:val="20"/>
          <w:shd w:val="clear" w:color="auto" w:fill="FFFFFF"/>
        </w:rPr>
        <w:t>odst.</w:t>
      </w:r>
      <w:r w:rsidRPr="007E523D">
        <w:rPr>
          <w:rFonts w:ascii="Arial" w:hAnsi="Arial" w:cs="Arial"/>
          <w:b/>
          <w:sz w:val="20"/>
          <w:szCs w:val="20"/>
          <w:shd w:val="clear" w:color="auto" w:fill="FFFFFF"/>
        </w:rPr>
        <w:t xml:space="preserve"> 5. 1. </w:t>
      </w:r>
      <w:r w:rsidRPr="007E523D">
        <w:rPr>
          <w:rFonts w:ascii="Arial" w:hAnsi="Arial" w:cs="Arial"/>
          <w:sz w:val="20"/>
          <w:szCs w:val="20"/>
          <w:shd w:val="clear" w:color="auto" w:fill="FFFFFF"/>
        </w:rPr>
        <w:t>a</w:t>
      </w:r>
      <w:r w:rsidRPr="007E523D">
        <w:rPr>
          <w:rFonts w:ascii="Arial" w:hAnsi="Arial" w:cs="Arial"/>
          <w:b/>
          <w:sz w:val="20"/>
          <w:szCs w:val="20"/>
          <w:shd w:val="clear" w:color="auto" w:fill="FFFFFF"/>
        </w:rPr>
        <w:t xml:space="preserve"> </w:t>
      </w:r>
      <w:r w:rsidR="00D86FB1" w:rsidRPr="00D86FB1">
        <w:rPr>
          <w:rFonts w:ascii="Arial" w:hAnsi="Arial" w:cs="Arial"/>
          <w:sz w:val="20"/>
          <w:szCs w:val="20"/>
          <w:shd w:val="clear" w:color="auto" w:fill="FFFFFF"/>
        </w:rPr>
        <w:t>odst.</w:t>
      </w:r>
      <w:r w:rsidR="00D86FB1">
        <w:rPr>
          <w:rFonts w:ascii="Arial" w:hAnsi="Arial" w:cs="Arial"/>
          <w:b/>
          <w:sz w:val="20"/>
          <w:szCs w:val="20"/>
          <w:shd w:val="clear" w:color="auto" w:fill="FFFFFF"/>
        </w:rPr>
        <w:t xml:space="preserve"> </w:t>
      </w:r>
      <w:r w:rsidRPr="007E523D">
        <w:rPr>
          <w:rFonts w:ascii="Arial" w:hAnsi="Arial" w:cs="Arial"/>
          <w:b/>
          <w:sz w:val="20"/>
          <w:szCs w:val="20"/>
          <w:shd w:val="clear" w:color="auto" w:fill="FFFFFF"/>
        </w:rPr>
        <w:t>5. 2</w:t>
      </w:r>
      <w:r w:rsidRPr="007E523D">
        <w:rPr>
          <w:rFonts w:ascii="Arial" w:hAnsi="Arial" w:cs="Arial"/>
          <w:sz w:val="20"/>
          <w:szCs w:val="20"/>
          <w:shd w:val="clear" w:color="auto" w:fill="FFFFFF"/>
        </w:rPr>
        <w:t>. této</w:t>
      </w:r>
      <w:r w:rsidRPr="007E523D">
        <w:rPr>
          <w:rFonts w:ascii="Arial" w:hAnsi="Arial" w:cs="Arial"/>
          <w:sz w:val="20"/>
          <w:szCs w:val="20"/>
        </w:rPr>
        <w:t xml:space="preserve"> Dohody. </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w:t>
      </w:r>
      <w:r w:rsidRPr="007E523D">
        <w:rPr>
          <w:rFonts w:ascii="Arial" w:hAnsi="Arial" w:cs="Arial"/>
          <w:sz w:val="20"/>
          <w:szCs w:val="20"/>
        </w:rPr>
        <w:lastRenderedPageBreak/>
        <w:t xml:space="preserve">zejména doklady stanovené obecně závaznými právními předpisy a dále pak i doklady v rozsahu stanoveném dílčí kupní smlouvou. </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Cisterny musí být vybaveny vážním zařízením pro přesnou evidenci stočeného množství emulze v jednotlivých odběrných místech. M</w:t>
      </w:r>
      <w:r w:rsidRPr="000F34AC">
        <w:rPr>
          <w:rFonts w:ascii="Arial" w:hAnsi="Arial" w:cs="Arial"/>
          <w:color w:val="171717"/>
          <w:sz w:val="20"/>
          <w:szCs w:val="20"/>
        </w:rPr>
        <w:t xml:space="preserve">ěřidlo na cisterně musí mít atest měřidla v obchodním styku s příslušnou přesností měření. </w:t>
      </w:r>
    </w:p>
    <w:p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color w:val="171717"/>
          <w:sz w:val="20"/>
          <w:szCs w:val="20"/>
        </w:rPr>
        <w:t>Nebude-li cisterna vybavena vážním zařízením, bude kupující akceptovat vážní lístky z certifikovaných mostových vah uznávaných v obchodním styku s příslušnou přesností měření. V tomto případě musí prodávající kupujícímu odevzdat vážní list plného vozidla a následný vážní list vozidla po stočení emulze.</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povinen při odevzdání zboží předat kupujícímu dodací (vážní) list, který bude obsahovat druh a množství předmětu koupě, název místa plnění kupujícího.</w:t>
      </w:r>
    </w:p>
    <w:p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se zavazuje, že zboží bude mít v době dodání vlastnosti v přílohách B1 a B2 a této Dohody.</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Pr>
          <w:rFonts w:ascii="Arial" w:hAnsi="Arial" w:cs="Arial"/>
          <w:b/>
          <w:sz w:val="20"/>
          <w:szCs w:val="20"/>
        </w:rPr>
        <w:t>§ 2099 a násl. O</w:t>
      </w:r>
      <w:r w:rsidRPr="007E523D">
        <w:rPr>
          <w:rFonts w:ascii="Arial" w:hAnsi="Arial" w:cs="Arial"/>
          <w:b/>
          <w:sz w:val="20"/>
          <w:szCs w:val="20"/>
        </w:rPr>
        <w:t>Z</w:t>
      </w:r>
      <w:r w:rsidRPr="007E523D">
        <w:rPr>
          <w:rFonts w:ascii="Arial" w:hAnsi="Arial" w:cs="Arial"/>
          <w:sz w:val="20"/>
          <w:szCs w:val="20"/>
        </w:rPr>
        <w:t xml:space="preserve">. </w:t>
      </w:r>
    </w:p>
    <w:p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rsid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Reklamace a záruky uplatňuje kupující přímo u prodávajícího.</w:t>
      </w:r>
    </w:p>
    <w:p w:rsidR="00074B34" w:rsidRP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DA4818">
        <w:rPr>
          <w:rFonts w:ascii="Arial" w:hAnsi="Arial" w:cs="Arial"/>
          <w:sz w:val="20"/>
          <w:szCs w:val="20"/>
        </w:rPr>
        <w:t xml:space="preserve">Zboží má vady, nemá-li vlastnosti uvedené v přílohách B1 a B2 této Dohody. Za vadu se považují i vady v dokladech dle odst. </w:t>
      </w:r>
      <w:proofErr w:type="gramStart"/>
      <w:r w:rsidRPr="00DA4818">
        <w:rPr>
          <w:rFonts w:ascii="Arial" w:hAnsi="Arial" w:cs="Arial"/>
          <w:sz w:val="20"/>
          <w:szCs w:val="20"/>
        </w:rPr>
        <w:t>1.4. této</w:t>
      </w:r>
      <w:proofErr w:type="gramEnd"/>
      <w:r w:rsidRPr="00DA4818">
        <w:rPr>
          <w:rFonts w:ascii="Arial" w:hAnsi="Arial" w:cs="Arial"/>
          <w:sz w:val="20"/>
          <w:szCs w:val="20"/>
        </w:rPr>
        <w:t xml:space="preserve"> rámcové dohody.</w:t>
      </w:r>
    </w:p>
    <w:p w:rsidR="00074B34" w:rsidRPr="000F34AC"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rsidR="00074B34" w:rsidRPr="007E523D" w:rsidRDefault="00074B34" w:rsidP="00074B34">
      <w:pPr>
        <w:pStyle w:val="Odstavecseseznamem"/>
        <w:autoSpaceDE w:val="0"/>
        <w:autoSpaceDN w:val="0"/>
        <w:adjustRightInd w:val="0"/>
        <w:spacing w:before="120" w:after="120" w:line="240" w:lineRule="auto"/>
        <w:ind w:left="567"/>
        <w:contextualSpacing w:val="0"/>
        <w:jc w:val="both"/>
        <w:rPr>
          <w:rFonts w:ascii="Arial" w:hAnsi="Arial" w:cs="Arial"/>
          <w:b/>
          <w:bCs/>
          <w:sz w:val="20"/>
          <w:szCs w:val="20"/>
        </w:rPr>
      </w:pPr>
      <w:r w:rsidRPr="007E523D">
        <w:rPr>
          <w:rStyle w:val="Odkaznakoment"/>
          <w:rFonts w:ascii="Arial" w:hAnsi="Arial" w:cs="Arial"/>
          <w:sz w:val="20"/>
          <w:szCs w:val="20"/>
        </w:rPr>
        <w:t xml:space="preserve">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Zánik rámcové kupní Dohody </w:t>
      </w:r>
    </w:p>
    <w:p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Tento závazkový vztah založený mezi oběma smluvními stranami touto Dohodou zaniká, nastane-li některá z níže uvedených právních skutečností: </w:t>
      </w:r>
    </w:p>
    <w:p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písemnou dohodou obou smluvních stran, a to ke dni uvedenému v takovéto dohodě, jinak ke dni následujícímu po dni uzavření dohody o zániku závazkového vztahu. </w:t>
      </w:r>
    </w:p>
    <w:p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lastRenderedPageBreak/>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uplynutím doby, na kterou je závazkový vztah sjednán. </w:t>
      </w:r>
    </w:p>
    <w:p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má dále právo bez předchozího písemného upozornění od dohody odstoupit:</w:t>
      </w:r>
    </w:p>
    <w:p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prodlení s odevzdáním zboží ze strany prodávajícího po dobu delší než 30 kalendářních dnů; a nebo</w:t>
      </w:r>
    </w:p>
    <w:p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technické parametry zboží neodpovídají požadavkům kupujícího stanoveným v zadávací dokumentaci; a nebo</w:t>
      </w:r>
    </w:p>
    <w:p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EB0B9C"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sidR="00C01D9D">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skutečnost oznámit neprodleně kupujícímu</w:t>
      </w:r>
      <w:r w:rsidR="00EB0B9C">
        <w:rPr>
          <w:rFonts w:ascii="Arial" w:hAnsi="Arial" w:cs="Arial"/>
          <w:sz w:val="20"/>
          <w:szCs w:val="20"/>
          <w:lang w:eastAsia="ar-SA"/>
        </w:rPr>
        <w:t xml:space="preserve">; a </w:t>
      </w:r>
    </w:p>
    <w:p w:rsidR="00074B34" w:rsidRPr="00CC19ED" w:rsidRDefault="00EB0B9C"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proofErr w:type="gramStart"/>
      <w:r w:rsidRPr="00CC6CFD">
        <w:rPr>
          <w:rFonts w:ascii="Arial" w:hAnsi="Arial" w:cs="Arial"/>
          <w:b/>
          <w:sz w:val="20"/>
          <w:szCs w:val="20"/>
          <w:lang w:eastAsia="ar-SA"/>
        </w:rPr>
        <w:t>12.</w:t>
      </w:r>
      <w:r w:rsidR="00921E17">
        <w:rPr>
          <w:rFonts w:ascii="Arial" w:hAnsi="Arial" w:cs="Arial"/>
          <w:b/>
          <w:sz w:val="20"/>
          <w:szCs w:val="20"/>
          <w:lang w:eastAsia="ar-SA"/>
        </w:rPr>
        <w:t>7</w:t>
      </w:r>
      <w:proofErr w:type="gramEnd"/>
      <w:r w:rsidR="00921E17">
        <w:rPr>
          <w:rFonts w:ascii="Arial" w:hAnsi="Arial" w:cs="Arial"/>
          <w:b/>
          <w:sz w:val="20"/>
          <w:szCs w:val="20"/>
          <w:lang w:eastAsia="ar-SA"/>
        </w:rPr>
        <w:t>.</w:t>
      </w:r>
      <w:r w:rsidRPr="00CC6CFD">
        <w:rPr>
          <w:rFonts w:ascii="Arial" w:hAnsi="Arial" w:cs="Arial"/>
          <w:sz w:val="20"/>
          <w:szCs w:val="20"/>
          <w:lang w:eastAsia="ar-SA"/>
        </w:rPr>
        <w:t xml:space="preserve">, </w:t>
      </w:r>
      <w:r w:rsidR="00921E17">
        <w:rPr>
          <w:rFonts w:ascii="Arial" w:hAnsi="Arial" w:cs="Arial"/>
          <w:b/>
          <w:sz w:val="20"/>
          <w:szCs w:val="20"/>
          <w:lang w:eastAsia="ar-SA"/>
        </w:rPr>
        <w:t>12</w:t>
      </w:r>
      <w:r w:rsidRPr="00CC6CFD">
        <w:rPr>
          <w:rFonts w:ascii="Arial" w:hAnsi="Arial" w:cs="Arial"/>
          <w:b/>
          <w:sz w:val="20"/>
          <w:szCs w:val="20"/>
          <w:lang w:eastAsia="ar-SA"/>
        </w:rPr>
        <w:t>.</w:t>
      </w:r>
      <w:r w:rsidR="00921E17">
        <w:rPr>
          <w:rFonts w:ascii="Arial" w:hAnsi="Arial" w:cs="Arial"/>
          <w:b/>
          <w:sz w:val="20"/>
          <w:szCs w:val="20"/>
          <w:lang w:eastAsia="ar-SA"/>
        </w:rPr>
        <w:t>8</w:t>
      </w:r>
      <w:r w:rsidRPr="00CC6CFD">
        <w:rPr>
          <w:rFonts w:ascii="Arial" w:hAnsi="Arial" w:cs="Arial"/>
          <w:b/>
          <w:sz w:val="20"/>
          <w:szCs w:val="20"/>
          <w:lang w:eastAsia="ar-SA"/>
        </w:rPr>
        <w:t>.</w:t>
      </w:r>
      <w:r w:rsidRPr="00CC6CFD">
        <w:rPr>
          <w:rFonts w:ascii="Arial" w:hAnsi="Arial" w:cs="Arial"/>
          <w:sz w:val="20"/>
          <w:szCs w:val="20"/>
          <w:lang w:eastAsia="ar-SA"/>
        </w:rPr>
        <w:t xml:space="preserve"> a </w:t>
      </w:r>
      <w:r w:rsidRPr="00CC6CFD">
        <w:rPr>
          <w:rFonts w:ascii="Arial" w:hAnsi="Arial" w:cs="Arial"/>
          <w:b/>
          <w:sz w:val="20"/>
          <w:szCs w:val="20"/>
          <w:lang w:eastAsia="ar-SA"/>
        </w:rPr>
        <w:t>1</w:t>
      </w:r>
      <w:r w:rsidR="00921E17">
        <w:rPr>
          <w:rFonts w:ascii="Arial" w:hAnsi="Arial" w:cs="Arial"/>
          <w:b/>
          <w:sz w:val="20"/>
          <w:szCs w:val="20"/>
          <w:lang w:eastAsia="ar-SA"/>
        </w:rPr>
        <w:t>2</w:t>
      </w:r>
      <w:r w:rsidRPr="00CC6CFD">
        <w:rPr>
          <w:rFonts w:ascii="Arial" w:hAnsi="Arial" w:cs="Arial"/>
          <w:b/>
          <w:sz w:val="20"/>
          <w:szCs w:val="20"/>
          <w:lang w:eastAsia="ar-SA"/>
        </w:rPr>
        <w:t>.</w:t>
      </w:r>
      <w:r w:rsidR="00921E17">
        <w:rPr>
          <w:rFonts w:ascii="Arial" w:hAnsi="Arial" w:cs="Arial"/>
          <w:b/>
          <w:sz w:val="20"/>
          <w:szCs w:val="20"/>
          <w:lang w:eastAsia="ar-SA"/>
        </w:rPr>
        <w:t>9</w:t>
      </w:r>
      <w:r w:rsidRPr="00CC6CFD">
        <w:rPr>
          <w:rFonts w:ascii="Arial" w:hAnsi="Arial" w:cs="Arial"/>
          <w:b/>
          <w:sz w:val="20"/>
          <w:szCs w:val="20"/>
          <w:lang w:eastAsia="ar-SA"/>
        </w:rPr>
        <w:t>.</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074B34" w:rsidRPr="007E523D" w:rsidRDefault="00074B34" w:rsidP="00CC19ED">
      <w:pPr>
        <w:pStyle w:val="Odstavecseseznamem"/>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CC19ED">
        <w:rPr>
          <w:rFonts w:ascii="Arial" w:hAnsi="Arial" w:cs="Arial"/>
          <w:sz w:val="20"/>
          <w:szCs w:val="20"/>
        </w:rPr>
        <w:t>ícímu přede dnem zániku Dohody.</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VIII.</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Doba trvání závazkového vztahu </w:t>
      </w:r>
    </w:p>
    <w:p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Dohoda se uzavírá od nabytí účinnosti </w:t>
      </w:r>
      <w:r w:rsidRPr="000F34AC">
        <w:rPr>
          <w:rFonts w:ascii="Arial" w:hAnsi="Arial" w:cs="Arial"/>
          <w:b/>
          <w:sz w:val="20"/>
          <w:szCs w:val="20"/>
        </w:rPr>
        <w:t xml:space="preserve">do 31. října </w:t>
      </w:r>
      <w:r w:rsidR="00EB0B9C" w:rsidRPr="000F34AC">
        <w:rPr>
          <w:rFonts w:ascii="Arial" w:hAnsi="Arial" w:cs="Arial"/>
          <w:b/>
          <w:sz w:val="20"/>
          <w:szCs w:val="20"/>
        </w:rPr>
        <w:t>202</w:t>
      </w:r>
      <w:r w:rsidR="00EB0B9C">
        <w:rPr>
          <w:rFonts w:ascii="Arial" w:hAnsi="Arial" w:cs="Arial"/>
          <w:b/>
          <w:sz w:val="20"/>
          <w:szCs w:val="20"/>
        </w:rPr>
        <w:t>3</w:t>
      </w:r>
      <w:r w:rsidRPr="000F34AC">
        <w:rPr>
          <w:rFonts w:ascii="Arial" w:hAnsi="Arial" w:cs="Arial"/>
          <w:sz w:val="20"/>
          <w:szCs w:val="20"/>
        </w:rPr>
        <w:t>.</w:t>
      </w:r>
      <w:r w:rsidRPr="007E523D">
        <w:rPr>
          <w:rFonts w:ascii="Arial" w:hAnsi="Arial" w:cs="Arial"/>
          <w:sz w:val="20"/>
          <w:szCs w:val="20"/>
        </w:rPr>
        <w:t xml:space="preserve">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IX.</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Doručování</w:t>
      </w:r>
    </w:p>
    <w:p w:rsidR="00074B34" w:rsidRPr="007E523D" w:rsidRDefault="00074B34" w:rsidP="00CC19ED">
      <w:pPr>
        <w:pStyle w:val="Odstavecseseznamem"/>
        <w:widowControl w:val="0"/>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Oba účastnící dohody se vzájemně dohodli, že veškeré právní úkony činěné podle této Dohody, jakož i dílčích kupních smluv, v písemné formě, jakož i další písemnosti, mohou být doručovány poštou, e-mailem, prostřednictvím datové schránky nebo elektronického nástroje přes Profil zadavatele, vždy však tak, aby bylo možné zajistit výkaz o doručení písemnosti druhé smluvní straně, popř. odepření přijetí. </w:t>
      </w:r>
    </w:p>
    <w:p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Účastnící dohody prohlašují, že adresy uvedené v záhlaví této Dohody jsou současně adresami pro doručování, u kterých je vyžadována písemná forma (např. výpověď, odstoupení). </w:t>
      </w:r>
    </w:p>
    <w:p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Zvláštní ustanovení </w:t>
      </w:r>
    </w:p>
    <w:p w:rsidR="00074B34" w:rsidRPr="007E523D" w:rsidRDefault="00074B34" w:rsidP="00CC19ED">
      <w:pPr>
        <w:pStyle w:val="Odstavecseseznamem"/>
        <w:keepNext/>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Spory vzniklé mezi smluvními stranami v souvislosti s plněním Dohody, resp. kterékoli dílčí kupní smlouvy, bude rozhodovat věcně a místně příslušný soud v České </w:t>
      </w:r>
      <w:r w:rsidRPr="00334DFB">
        <w:rPr>
          <w:rFonts w:ascii="Arial" w:hAnsi="Arial" w:cs="Arial"/>
          <w:sz w:val="20"/>
          <w:szCs w:val="20"/>
        </w:rPr>
        <w:t xml:space="preserve">republice. </w:t>
      </w:r>
      <w:r w:rsidRPr="00DA4818">
        <w:rPr>
          <w:rFonts w:ascii="Arial" w:hAnsi="Arial" w:cs="Arial"/>
          <w:sz w:val="20"/>
          <w:szCs w:val="20"/>
        </w:rPr>
        <w:t xml:space="preserve">Kupující si vyhrazuje právo využít nezávislou laboratoř VIAKONTROL, spol. s r.o., </w:t>
      </w:r>
      <w:r w:rsidRPr="00DA4818">
        <w:rPr>
          <w:rFonts w:ascii="Arial" w:hAnsi="Arial" w:cs="Arial"/>
          <w:color w:val="000000"/>
          <w:sz w:val="20"/>
          <w:szCs w:val="20"/>
        </w:rPr>
        <w:t>IČO:</w:t>
      </w:r>
      <w:r w:rsidRPr="00DA4818">
        <w:rPr>
          <w:rFonts w:ascii="Arial" w:hAnsi="Arial" w:cs="Arial"/>
          <w:sz w:val="20"/>
          <w:szCs w:val="20"/>
        </w:rPr>
        <w:t xml:space="preserve"> </w:t>
      </w:r>
      <w:r w:rsidRPr="00DA4818">
        <w:rPr>
          <w:rFonts w:ascii="Arial" w:hAnsi="Arial" w:cs="Arial"/>
          <w:color w:val="000000"/>
          <w:sz w:val="20"/>
          <w:szCs w:val="20"/>
          <w:shd w:val="clear" w:color="auto" w:fill="FFFFFF"/>
        </w:rPr>
        <w:t>60202564</w:t>
      </w:r>
      <w:r w:rsidRPr="00DA4818">
        <w:rPr>
          <w:rFonts w:ascii="Arial" w:hAnsi="Arial" w:cs="Arial"/>
          <w:color w:val="637381"/>
          <w:sz w:val="20"/>
          <w:szCs w:val="20"/>
          <w:shd w:val="clear" w:color="auto" w:fill="FFFFFF"/>
        </w:rPr>
        <w:t>,</w:t>
      </w:r>
      <w:r w:rsidRPr="00DA4818">
        <w:rPr>
          <w:rFonts w:ascii="Arial" w:hAnsi="Arial" w:cs="Arial"/>
          <w:sz w:val="20"/>
          <w:szCs w:val="20"/>
        </w:rPr>
        <w:t xml:space="preserve"> pro případ sporů o kvalitě emulze.</w:t>
      </w:r>
      <w:r w:rsidRPr="00334DFB">
        <w:rPr>
          <w:rFonts w:ascii="Arial" w:hAnsi="Arial" w:cs="Arial"/>
          <w:sz w:val="20"/>
          <w:szCs w:val="20"/>
        </w:rPr>
        <w:t xml:space="preserve"> Výsledky těchto rozborů budou pro obě strany závazné.</w:t>
      </w:r>
      <w:r w:rsidRPr="007E523D">
        <w:rPr>
          <w:rFonts w:ascii="Arial" w:hAnsi="Arial" w:cs="Arial"/>
          <w:sz w:val="20"/>
          <w:szCs w:val="20"/>
        </w:rPr>
        <w:t xml:space="preserve"> </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mít po celou dobu trvání této dohody sjednáno platné pojištění odpovědnosti za škodu způsobenou třetí osobě v souvislosti s výkonem jeho činnosti s limitem pojistného plnění </w:t>
      </w:r>
      <w:r w:rsidRPr="00DA4818">
        <w:rPr>
          <w:rFonts w:ascii="Arial" w:hAnsi="Arial" w:cs="Arial"/>
          <w:sz w:val="20"/>
          <w:szCs w:val="20"/>
        </w:rPr>
        <w:t xml:space="preserve">minimálně </w:t>
      </w:r>
      <w:r w:rsidRPr="00DA4818">
        <w:rPr>
          <w:rFonts w:ascii="Arial" w:hAnsi="Arial" w:cs="Arial"/>
          <w:b/>
          <w:sz w:val="20"/>
          <w:szCs w:val="20"/>
        </w:rPr>
        <w:t>5 mil. Kč</w:t>
      </w:r>
      <w:r w:rsidRPr="00DA4818">
        <w:rPr>
          <w:rFonts w:ascii="Arial" w:hAnsi="Arial" w:cs="Arial"/>
          <w:sz w:val="20"/>
          <w:szCs w:val="20"/>
        </w:rPr>
        <w:t>.</w:t>
      </w:r>
      <w:r w:rsidRPr="007E523D">
        <w:rPr>
          <w:rFonts w:ascii="Arial" w:hAnsi="Arial" w:cs="Arial"/>
          <w:sz w:val="20"/>
          <w:szCs w:val="20"/>
        </w:rPr>
        <w:t xml:space="preserve"> Za účelem prokázání splnění tohoto požadavku prodávající doložil kupujícímu před uzavřením smlouvy doklad osvědčující uzavření pojistné smlouvy v požadovaném rozsahu.</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074B34" w:rsidRPr="007E523D" w:rsidRDefault="00074B34" w:rsidP="00074B34">
      <w:pPr>
        <w:keepNext/>
        <w:autoSpaceDE w:val="0"/>
        <w:autoSpaceDN w:val="0"/>
        <w:adjustRightInd w:val="0"/>
        <w:spacing w:before="120" w:after="120" w:line="240" w:lineRule="auto"/>
        <w:jc w:val="center"/>
        <w:rPr>
          <w:rFonts w:ascii="Arial" w:hAnsi="Arial" w:cs="Arial"/>
          <w:sz w:val="20"/>
          <w:szCs w:val="20"/>
        </w:rPr>
      </w:pPr>
    </w:p>
    <w:p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XI.</w:t>
      </w:r>
    </w:p>
    <w:p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Platnost a účinnost smlouvy</w:t>
      </w:r>
    </w:p>
    <w:p w:rsidR="00074B34" w:rsidRPr="007E523D" w:rsidRDefault="00074B34" w:rsidP="00CC19ED">
      <w:pPr>
        <w:keepNext/>
        <w:numPr>
          <w:ilvl w:val="0"/>
          <w:numId w:val="10"/>
        </w:numPr>
        <w:spacing w:before="240" w:after="240"/>
        <w:ind w:left="567" w:hanging="567"/>
        <w:jc w:val="both"/>
        <w:rPr>
          <w:rFonts w:ascii="Arial" w:hAnsi="Arial" w:cs="Arial"/>
          <w:sz w:val="20"/>
          <w:szCs w:val="20"/>
        </w:rPr>
      </w:pPr>
      <w:r w:rsidRPr="007E523D">
        <w:rPr>
          <w:rFonts w:ascii="Arial" w:hAnsi="Arial" w:cs="Arial"/>
          <w:sz w:val="20"/>
          <w:szCs w:val="20"/>
        </w:rPr>
        <w:t xml:space="preserve">Dohoda je vyhotovena v elektronické podobě, přičemž obě smluvní strany obdrží její elektronický originál. </w:t>
      </w:r>
    </w:p>
    <w:p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rsidR="00074B34" w:rsidRPr="007E523D" w:rsidRDefault="00074B34" w:rsidP="00CC19ED">
      <w:pPr>
        <w:keepNext/>
        <w:spacing w:before="120" w:after="120"/>
        <w:ind w:left="567"/>
        <w:jc w:val="both"/>
        <w:rPr>
          <w:rFonts w:ascii="Arial" w:hAnsi="Arial" w:cs="Arial"/>
          <w:sz w:val="20"/>
          <w:szCs w:val="20"/>
          <w:highlight w:val="yellow"/>
        </w:rPr>
      </w:pPr>
    </w:p>
    <w:p w:rsidR="00074B34" w:rsidRPr="007E523D" w:rsidRDefault="00074B34" w:rsidP="00CC19ED">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p>
    <w:p w:rsidR="00074B34" w:rsidRPr="007E523D" w:rsidRDefault="00074B34" w:rsidP="00CC19ED">
      <w:pPr>
        <w:pStyle w:val="Nadpis2"/>
        <w:keepNext w:val="0"/>
        <w:widowControl w:val="0"/>
        <w:spacing w:before="120" w:after="120" w:line="240" w:lineRule="auto"/>
        <w:ind w:left="578" w:hanging="578"/>
        <w:jc w:val="center"/>
        <w:rPr>
          <w:rFonts w:ascii="Arial" w:hAnsi="Arial" w:cs="Arial"/>
          <w:i w:val="0"/>
          <w:sz w:val="20"/>
          <w:szCs w:val="20"/>
        </w:rPr>
      </w:pPr>
      <w:r w:rsidRPr="007E523D">
        <w:rPr>
          <w:rFonts w:ascii="Arial" w:hAnsi="Arial" w:cs="Arial"/>
          <w:i w:val="0"/>
          <w:sz w:val="20"/>
          <w:szCs w:val="20"/>
        </w:rPr>
        <w:t>Závěrečná ustanovení</w:t>
      </w:r>
    </w:p>
    <w:p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rsidR="00074B34" w:rsidRPr="00CC19ED" w:rsidRDefault="00074B34" w:rsidP="00CC19ED">
      <w:pPr>
        <w:pStyle w:val="Zkladntextodsazen21"/>
        <w:numPr>
          <w:ilvl w:val="0"/>
          <w:numId w:val="16"/>
        </w:numPr>
        <w:spacing w:before="240" w:after="240"/>
        <w:ind w:left="0" w:firstLine="0"/>
        <w:rPr>
          <w:rFonts w:ascii="Arial" w:hAnsi="Arial" w:cs="Arial"/>
          <w:color w:val="000000"/>
          <w:sz w:val="20"/>
          <w:szCs w:val="20"/>
        </w:rPr>
      </w:pPr>
      <w:r w:rsidRPr="007E523D">
        <w:rPr>
          <w:rFonts w:ascii="Arial" w:hAnsi="Arial" w:cs="Arial"/>
          <w:color w:val="000000"/>
          <w:sz w:val="20"/>
          <w:szCs w:val="20"/>
        </w:rPr>
        <w:t>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7E523D">
        <w:rPr>
          <w:rFonts w:ascii="Arial" w:hAnsi="Arial" w:cs="Arial"/>
          <w:color w:val="000000"/>
          <w:sz w:val="20"/>
          <w:szCs w:val="20"/>
        </w:rPr>
        <w:t xml:space="preserve"> Prodávající prohlašuje, že si je vědom skutečnosti, že Kupující zadal veřejnou zakázku v souladu se zásadami sociálně odpovědného zadávání veřejných zakázek, </w:t>
      </w:r>
      <w:bookmarkEnd w:id="1"/>
      <w:r w:rsidRPr="007E523D">
        <w:rPr>
          <w:rFonts w:ascii="Arial" w:hAnsi="Arial" w:cs="Arial"/>
          <w:color w:val="000000"/>
          <w:sz w:val="20"/>
          <w:szCs w:val="20"/>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w:t>
      </w:r>
      <w:bookmarkStart w:id="2" w:name="_Ref60052532"/>
      <w:r w:rsidRPr="007E523D">
        <w:rPr>
          <w:rFonts w:ascii="Arial" w:hAnsi="Arial" w:cs="Arial"/>
          <w:color w:val="000000"/>
          <w:sz w:val="20"/>
          <w:szCs w:val="20"/>
        </w:rPr>
        <w:t xml:space="preserve"> Prodávající je povinen po dobu trvání Dohody, na vyžádání Kupujícího předložit čestné prohlášení, v němž uvede jmenný seznam všech svých zaměstnanců, agenturních zaměstnanců, živnostníků a dalších osob, které realizovaly D</w:t>
      </w:r>
      <w:r w:rsidR="00C01D9D">
        <w:rPr>
          <w:rFonts w:ascii="Arial" w:hAnsi="Arial" w:cs="Arial"/>
          <w:color w:val="000000"/>
          <w:sz w:val="20"/>
          <w:szCs w:val="20"/>
        </w:rPr>
        <w:t>odávky</w:t>
      </w:r>
      <w:r w:rsidRPr="007E523D">
        <w:rPr>
          <w:rFonts w:ascii="Arial" w:hAnsi="Arial" w:cs="Arial"/>
          <w:color w:val="000000"/>
          <w:sz w:val="20"/>
          <w:szCs w:val="2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w:t>
      </w:r>
      <w:r w:rsidRPr="007E523D">
        <w:rPr>
          <w:rFonts w:ascii="Arial" w:hAnsi="Arial" w:cs="Arial"/>
          <w:color w:val="000000"/>
          <w:sz w:val="20"/>
          <w:szCs w:val="20"/>
        </w:rPr>
        <w:lastRenderedPageBreak/>
        <w:t>dle účinné právní úpravy. Zároveň je prodávající, na vyžádání Kupujícího, povinen předložit čestné prohlášení o včasném a úplném plnění veškerých svých závazků vůči poddodavatelům, jejichž prostřednictvím Dodávk</w:t>
      </w:r>
      <w:r w:rsidR="00C01D9D">
        <w:rPr>
          <w:rFonts w:ascii="Arial" w:hAnsi="Arial" w:cs="Arial"/>
          <w:color w:val="000000"/>
          <w:sz w:val="20"/>
          <w:szCs w:val="20"/>
        </w:rPr>
        <w:t>y</w:t>
      </w:r>
      <w:r w:rsidRPr="007E523D">
        <w:rPr>
          <w:rFonts w:ascii="Arial" w:hAnsi="Arial" w:cs="Arial"/>
          <w:color w:val="000000"/>
          <w:sz w:val="20"/>
          <w:szCs w:val="20"/>
        </w:rPr>
        <w:t xml:space="preserve"> realizuje. Prodávající bere na vědomí, že tato prohlášení je Kupující oprávněn poskytnout příslušným orgánům veřejné moci České republiky.</w:t>
      </w:r>
      <w:bookmarkEnd w:id="2"/>
      <w:r w:rsidRPr="007E523D">
        <w:rPr>
          <w:rFonts w:ascii="Arial" w:hAnsi="Arial" w:cs="Arial"/>
          <w:color w:val="000000"/>
          <w:sz w:val="20"/>
          <w:szCs w:val="20"/>
        </w:rPr>
        <w:t xml:space="preserve"> Kupující je oprávněn průběžně kontrolovat dodržování povinností Prodávajícího, a to i přímo u pracovníků vykonávajících Dodávk</w:t>
      </w:r>
      <w:r w:rsidR="00C01D9D">
        <w:rPr>
          <w:rFonts w:ascii="Arial" w:hAnsi="Arial" w:cs="Arial"/>
          <w:color w:val="000000"/>
          <w:sz w:val="20"/>
          <w:szCs w:val="20"/>
        </w:rPr>
        <w:t>y</w:t>
      </w:r>
      <w:r w:rsidRPr="007E523D">
        <w:rPr>
          <w:rFonts w:ascii="Arial" w:hAnsi="Arial" w:cs="Arial"/>
          <w:color w:val="000000"/>
          <w:sz w:val="20"/>
          <w:szCs w:val="20"/>
        </w:rPr>
        <w:t>, přičemž Prodávající je povinen tuto kontrolu umožnit, strpět a poskytnout Kupujícímu veškerou nezbytnou součinnost k jejímu provedení.</w:t>
      </w:r>
    </w:p>
    <w:p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rsidR="00EB0B9C"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rsidR="00EB0B9C"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EB0B9C" w:rsidRPr="00CC6CF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Prodávající se zavazuje v rámci plnění této smlouvy nevyužívat v rozsahu vyšším než 10% ceny poddodavatele, který je:</w:t>
      </w:r>
    </w:p>
    <w:p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písmeni a) nebo b) tohoto odstavce.</w:t>
      </w:r>
    </w:p>
    <w:p w:rsidR="00074B34"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lang w:eastAsia="en-US"/>
        </w:rPr>
      </w:pPr>
      <w:r w:rsidRPr="00CC6CFD">
        <w:rPr>
          <w:rFonts w:ascii="Arial" w:hAnsi="Arial" w:cs="Arial"/>
          <w:sz w:val="20"/>
          <w:szCs w:val="20"/>
          <w:lang w:eastAsia="en-US"/>
        </w:rPr>
        <w:t xml:space="preserve">Ke změně ustanovení dle </w:t>
      </w:r>
      <w:r w:rsidRPr="00DA4818">
        <w:rPr>
          <w:rFonts w:ascii="Arial" w:hAnsi="Arial" w:cs="Arial"/>
          <w:sz w:val="20"/>
          <w:szCs w:val="20"/>
          <w:lang w:eastAsia="en-US"/>
        </w:rPr>
        <w:t xml:space="preserve">odst. </w:t>
      </w:r>
      <w:proofErr w:type="gramStart"/>
      <w:r w:rsidR="00921E17" w:rsidRPr="00DA4818">
        <w:rPr>
          <w:rFonts w:ascii="Arial" w:hAnsi="Arial" w:cs="Arial"/>
          <w:b/>
          <w:sz w:val="20"/>
          <w:szCs w:val="20"/>
          <w:lang w:eastAsia="en-US"/>
        </w:rPr>
        <w:t>7</w:t>
      </w:r>
      <w:r w:rsidRPr="00DA4818">
        <w:rPr>
          <w:rFonts w:ascii="Arial" w:hAnsi="Arial" w:cs="Arial"/>
          <w:b/>
          <w:sz w:val="20"/>
          <w:szCs w:val="20"/>
          <w:lang w:eastAsia="en-US"/>
        </w:rPr>
        <w:t>.2. písm.</w:t>
      </w:r>
      <w:proofErr w:type="gramEnd"/>
      <w:r w:rsidRPr="00DA4818">
        <w:rPr>
          <w:rFonts w:ascii="Arial" w:hAnsi="Arial" w:cs="Arial"/>
          <w:b/>
          <w:sz w:val="20"/>
          <w:szCs w:val="20"/>
          <w:lang w:eastAsia="en-US"/>
        </w:rPr>
        <w:t xml:space="preserve"> f.</w:t>
      </w:r>
      <w:r w:rsidRPr="00DA4818">
        <w:rPr>
          <w:rFonts w:ascii="Arial" w:hAnsi="Arial" w:cs="Arial"/>
          <w:sz w:val="20"/>
          <w:szCs w:val="20"/>
          <w:lang w:eastAsia="en-US"/>
        </w:rPr>
        <w:t xml:space="preserve"> a odst. </w:t>
      </w:r>
      <w:r w:rsidRPr="00DA4818">
        <w:rPr>
          <w:rFonts w:ascii="Arial" w:hAnsi="Arial" w:cs="Arial"/>
          <w:b/>
          <w:sz w:val="20"/>
          <w:szCs w:val="20"/>
          <w:lang w:eastAsia="en-US"/>
        </w:rPr>
        <w:t>12.</w:t>
      </w:r>
      <w:r w:rsidR="00921E17" w:rsidRPr="00DA4818">
        <w:rPr>
          <w:rFonts w:ascii="Arial" w:hAnsi="Arial" w:cs="Arial"/>
          <w:b/>
          <w:sz w:val="20"/>
          <w:szCs w:val="20"/>
          <w:lang w:eastAsia="en-US"/>
        </w:rPr>
        <w:t>7.</w:t>
      </w:r>
      <w:r w:rsidRPr="00DA4818">
        <w:rPr>
          <w:rFonts w:ascii="Arial" w:hAnsi="Arial" w:cs="Arial"/>
          <w:sz w:val="20"/>
          <w:szCs w:val="20"/>
          <w:lang w:eastAsia="en-US"/>
        </w:rPr>
        <w:t xml:space="preserve"> a </w:t>
      </w:r>
      <w:r w:rsidRPr="00DA4818">
        <w:rPr>
          <w:rFonts w:ascii="Arial" w:hAnsi="Arial" w:cs="Arial"/>
          <w:b/>
          <w:sz w:val="20"/>
          <w:szCs w:val="20"/>
          <w:lang w:eastAsia="en-US"/>
        </w:rPr>
        <w:t>1</w:t>
      </w:r>
      <w:r w:rsidR="00921E17" w:rsidRPr="00DA4818">
        <w:rPr>
          <w:rFonts w:ascii="Arial" w:hAnsi="Arial" w:cs="Arial"/>
          <w:b/>
          <w:sz w:val="20"/>
          <w:szCs w:val="20"/>
          <w:lang w:eastAsia="en-US"/>
        </w:rPr>
        <w:t>2</w:t>
      </w:r>
      <w:r w:rsidRPr="00DA4818">
        <w:rPr>
          <w:rFonts w:ascii="Arial" w:hAnsi="Arial" w:cs="Arial"/>
          <w:b/>
          <w:sz w:val="20"/>
          <w:szCs w:val="20"/>
          <w:lang w:eastAsia="en-US"/>
        </w:rPr>
        <w:t>.</w:t>
      </w:r>
      <w:r w:rsidR="00921E17" w:rsidRPr="00DA4818">
        <w:rPr>
          <w:rFonts w:ascii="Arial" w:hAnsi="Arial" w:cs="Arial"/>
          <w:b/>
          <w:sz w:val="20"/>
          <w:szCs w:val="20"/>
          <w:lang w:eastAsia="en-US"/>
        </w:rPr>
        <w:t>8</w:t>
      </w:r>
      <w:r w:rsidRPr="00DA4818">
        <w:rPr>
          <w:rFonts w:ascii="Arial" w:hAnsi="Arial" w:cs="Arial"/>
          <w:b/>
          <w:sz w:val="20"/>
          <w:szCs w:val="20"/>
          <w:lang w:eastAsia="en-US"/>
        </w:rPr>
        <w:t>.</w:t>
      </w:r>
      <w:r w:rsidRPr="00DA4818">
        <w:rPr>
          <w:rFonts w:ascii="Arial" w:hAnsi="Arial" w:cs="Arial"/>
          <w:sz w:val="20"/>
          <w:szCs w:val="20"/>
          <w:lang w:eastAsia="en-US"/>
        </w:rPr>
        <w:t xml:space="preserve"> může</w:t>
      </w:r>
      <w:r w:rsidRPr="00CC6CFD">
        <w:rPr>
          <w:rFonts w:ascii="Arial" w:hAnsi="Arial" w:cs="Arial"/>
          <w:sz w:val="20"/>
          <w:szCs w:val="20"/>
          <w:lang w:eastAsia="en-US"/>
        </w:rPr>
        <w:t xml:space="preserve"> dojít pouze v rámci novelizace Nařízení Rady (EU) č. </w:t>
      </w:r>
      <w:r w:rsidRPr="00CC6CF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C6CFD">
        <w:rPr>
          <w:rFonts w:ascii="Arial" w:hAnsi="Arial" w:cs="Arial"/>
          <w:sz w:val="20"/>
          <w:szCs w:val="20"/>
          <w:lang w:eastAsia="en-US"/>
        </w:rPr>
        <w:t>to formou písemného dodatku k této rámcové dohodě.</w:t>
      </w:r>
    </w:p>
    <w:p w:rsidR="00074B34" w:rsidRPr="007E523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p>
    <w:p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r w:rsidRPr="007E523D">
        <w:rPr>
          <w:rFonts w:ascii="Arial" w:hAnsi="Arial" w:cs="Arial"/>
          <w:sz w:val="20"/>
          <w:szCs w:val="20"/>
          <w:lang w:eastAsia="cs-CZ"/>
        </w:rPr>
        <w:t>Nedílnou součástí Dohody jsou následující přílohy:</w:t>
      </w:r>
    </w:p>
    <w:p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p>
    <w:p w:rsidR="00074B34" w:rsidRPr="007E523D" w:rsidRDefault="00074B34" w:rsidP="00CC19ED">
      <w:pPr>
        <w:numPr>
          <w:ilvl w:val="0"/>
          <w:numId w:val="13"/>
        </w:numPr>
        <w:spacing w:before="240" w:after="240" w:line="240" w:lineRule="auto"/>
        <w:rPr>
          <w:rFonts w:ascii="Arial" w:hAnsi="Arial" w:cs="Arial"/>
          <w:sz w:val="20"/>
          <w:szCs w:val="20"/>
        </w:rPr>
      </w:pPr>
      <w:r w:rsidRPr="007E523D">
        <w:rPr>
          <w:rFonts w:ascii="Arial" w:hAnsi="Arial" w:cs="Arial"/>
          <w:sz w:val="20"/>
          <w:szCs w:val="20"/>
        </w:rPr>
        <w:t>Příloha A1 - Údaje, které jsou součástí ujednání a nebudou zveřejněny v Registru smluv.</w:t>
      </w:r>
    </w:p>
    <w:p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B1 – Předmět koupě Spojovací postřik</w:t>
      </w:r>
    </w:p>
    <w:p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B2 – Předmět koupě Nátěry a Výspravy tryskovou metodou</w:t>
      </w:r>
    </w:p>
    <w:p w:rsidR="00CC19ED" w:rsidRPr="007E523D" w:rsidRDefault="00CC19ED" w:rsidP="00CC19ED">
      <w:pPr>
        <w:pStyle w:val="Odstavecseseznamem"/>
        <w:keepNext/>
        <w:autoSpaceDE w:val="0"/>
        <w:autoSpaceDN w:val="0"/>
        <w:adjustRightInd w:val="0"/>
        <w:spacing w:before="240" w:after="240" w:line="240" w:lineRule="auto"/>
        <w:ind w:left="0"/>
        <w:contextualSpacing w:val="0"/>
        <w:jc w:val="both"/>
        <w:rPr>
          <w:rFonts w:ascii="Arial" w:hAnsi="Arial" w:cs="Arial"/>
          <w:sz w:val="20"/>
          <w:szCs w:val="20"/>
        </w:rPr>
      </w:pPr>
    </w:p>
    <w:p w:rsidR="00074B34" w:rsidRPr="007E523D" w:rsidRDefault="00074B34" w:rsidP="00CC19ED">
      <w:pPr>
        <w:spacing w:before="240" w:after="240"/>
        <w:jc w:val="both"/>
        <w:rPr>
          <w:rFonts w:ascii="Arial" w:hAnsi="Arial" w:cs="Arial"/>
          <w:caps/>
          <w:sz w:val="20"/>
          <w:szCs w:val="20"/>
        </w:rPr>
      </w:pPr>
      <w:r w:rsidRPr="007E523D">
        <w:rPr>
          <w:rFonts w:ascii="Arial" w:hAnsi="Arial" w:cs="Arial"/>
          <w:caps/>
          <w:sz w:val="20"/>
          <w:szCs w:val="20"/>
        </w:rPr>
        <w:t xml:space="preserve">NA DŮKAZ SVÉHO SOUHLASU S OBSAHEM TÉTO RÁMCOVÉ DOHODY K NÍ SMLUVNÍ STRANY PŘIPOJILY SVÉ UZNÁVANÉ ELEKTRONICKÉ PODPISY DLE ZÁKONA Č. 297/2016 SB., </w:t>
      </w:r>
      <w:r w:rsidRPr="007E523D">
        <w:rPr>
          <w:rFonts w:ascii="Arial" w:hAnsi="Arial" w:cs="Arial"/>
          <w:caps/>
          <w:sz w:val="20"/>
          <w:szCs w:val="20"/>
        </w:rPr>
        <w:lastRenderedPageBreak/>
        <w:t>O SLUŽBÁCH VYTVÁŘEJÍCÍCH DŮVĚRU PRO ELEKTRONICKÉ TRANSAKCE, VE ZNĚNÍ POZDĚJŠÍCH PŘEDPISŮ.</w:t>
      </w:r>
    </w:p>
    <w:p w:rsidR="00074B34" w:rsidRPr="007E523D" w:rsidRDefault="00074B34" w:rsidP="00074B34">
      <w:pPr>
        <w:spacing w:after="120"/>
        <w:jc w:val="both"/>
        <w:rPr>
          <w:rFonts w:ascii="Arial" w:hAnsi="Arial" w:cs="Arial"/>
          <w:caps/>
          <w:sz w:val="20"/>
          <w:szCs w:val="20"/>
        </w:rPr>
      </w:pPr>
    </w:p>
    <w:p w:rsidR="00CC19ED" w:rsidRPr="007E523D" w:rsidRDefault="00CC19ED" w:rsidP="00074B34">
      <w:pPr>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rsidTr="00FF6FF9">
        <w:tc>
          <w:tcPr>
            <w:tcW w:w="4678" w:type="dxa"/>
            <w:shd w:val="clear" w:color="auto" w:fill="auto"/>
          </w:tcPr>
          <w:p w:rsidR="00074B34" w:rsidRPr="007E523D" w:rsidRDefault="00074B34" w:rsidP="00FF6FF9">
            <w:pPr>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rsidR="00074B34" w:rsidRPr="007E523D" w:rsidRDefault="00074B34" w:rsidP="00FF6FF9">
            <w:pPr>
              <w:rPr>
                <w:rFonts w:ascii="Arial" w:hAnsi="Arial" w:cs="Arial"/>
                <w:sz w:val="20"/>
                <w:szCs w:val="20"/>
              </w:rPr>
            </w:pPr>
            <w:r w:rsidRPr="007E523D">
              <w:rPr>
                <w:rFonts w:ascii="Arial" w:hAnsi="Arial" w:cs="Arial"/>
                <w:sz w:val="20"/>
                <w:szCs w:val="20"/>
              </w:rPr>
              <w:t>V Jihlavě dne: viz podpis</w:t>
            </w:r>
          </w:p>
        </w:tc>
      </w:tr>
      <w:tr w:rsidR="00074B34" w:rsidRPr="007E523D" w:rsidTr="00FF6FF9">
        <w:trPr>
          <w:trHeight w:val="2435"/>
        </w:trPr>
        <w:tc>
          <w:tcPr>
            <w:tcW w:w="4678" w:type="dxa"/>
            <w:shd w:val="clear" w:color="auto" w:fill="auto"/>
          </w:tcPr>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p>
          <w:p w:rsidR="00074B34" w:rsidRDefault="00074B34" w:rsidP="00FF6FF9">
            <w:pPr>
              <w:spacing w:after="0" w:line="240" w:lineRule="auto"/>
              <w:jc w:val="center"/>
              <w:rPr>
                <w:rFonts w:ascii="Arial" w:hAnsi="Arial" w:cs="Arial"/>
                <w:sz w:val="20"/>
                <w:szCs w:val="20"/>
              </w:rPr>
            </w:pPr>
          </w:p>
          <w:p w:rsidR="004138BC" w:rsidRPr="007E523D" w:rsidRDefault="004138BC"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rsidR="00074B34" w:rsidRPr="00DA4818" w:rsidRDefault="00074B34" w:rsidP="00FF6FF9">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rsidR="00074B34" w:rsidRPr="007E523D" w:rsidRDefault="00074B34" w:rsidP="00FF6FF9">
            <w:pPr>
              <w:spacing w:after="0" w:line="240" w:lineRule="auto"/>
              <w:rPr>
                <w:rFonts w:ascii="Arial" w:hAnsi="Arial" w:cs="Arial"/>
                <w:sz w:val="20"/>
                <w:szCs w:val="20"/>
              </w:rPr>
            </w:pPr>
            <w:r w:rsidRPr="00DA4818">
              <w:rPr>
                <w:rFonts w:ascii="Arial" w:hAnsi="Arial" w:cs="Arial"/>
                <w:i/>
                <w:color w:val="000000" w:themeColor="text1"/>
                <w:sz w:val="16"/>
                <w:szCs w:val="16"/>
              </w:rPr>
              <w:t>oprávněné jednat za zhotovitele</w:t>
            </w:r>
          </w:p>
        </w:tc>
        <w:tc>
          <w:tcPr>
            <w:tcW w:w="4501" w:type="dxa"/>
            <w:shd w:val="clear" w:color="auto" w:fill="auto"/>
          </w:tcPr>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Default="00074B34" w:rsidP="00FF6FF9">
            <w:pPr>
              <w:spacing w:after="0" w:line="240" w:lineRule="auto"/>
              <w:jc w:val="center"/>
              <w:rPr>
                <w:rFonts w:ascii="Arial" w:hAnsi="Arial" w:cs="Arial"/>
                <w:sz w:val="20"/>
                <w:szCs w:val="20"/>
              </w:rPr>
            </w:pPr>
          </w:p>
          <w:p w:rsidR="004138BC" w:rsidRPr="007E523D" w:rsidRDefault="004138BC"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rsidR="00807674" w:rsidRDefault="00807674" w:rsidP="00FF6FF9">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příspěvková organizace</w:t>
            </w:r>
          </w:p>
          <w:p w:rsidR="00074B34" w:rsidRPr="007E523D" w:rsidRDefault="00074B34" w:rsidP="00FF6FF9">
            <w:pPr>
              <w:spacing w:after="0" w:line="240" w:lineRule="auto"/>
              <w:rPr>
                <w:rFonts w:ascii="Arial" w:hAnsi="Arial" w:cs="Arial"/>
                <w:sz w:val="20"/>
                <w:szCs w:val="20"/>
              </w:rPr>
            </w:pPr>
          </w:p>
        </w:tc>
      </w:tr>
    </w:tbl>
    <w:p w:rsidR="00074B34" w:rsidRPr="007E523D" w:rsidRDefault="00074B34" w:rsidP="00074B34">
      <w:pPr>
        <w:spacing w:after="120"/>
        <w:jc w:val="both"/>
        <w:rPr>
          <w:rFonts w:ascii="Arial" w:hAnsi="Arial" w:cs="Arial"/>
          <w:caps/>
          <w:sz w:val="20"/>
          <w:szCs w:val="20"/>
        </w:rPr>
      </w:pPr>
    </w:p>
    <w:p w:rsidR="00074B34" w:rsidRPr="00BF5A35" w:rsidRDefault="00074B34" w:rsidP="00074B34">
      <w:pPr>
        <w:jc w:val="right"/>
        <w:rPr>
          <w:rFonts w:ascii="Arial" w:hAnsi="Arial" w:cs="Arial"/>
          <w:b/>
          <w:sz w:val="20"/>
          <w:szCs w:val="20"/>
        </w:rPr>
      </w:pPr>
      <w:r w:rsidRPr="007E523D">
        <w:rPr>
          <w:rFonts w:ascii="Arial" w:hAnsi="Arial" w:cs="Arial"/>
          <w:sz w:val="20"/>
          <w:szCs w:val="20"/>
        </w:rPr>
        <w:br w:type="page"/>
      </w:r>
      <w:r w:rsidRPr="00BF5A35">
        <w:rPr>
          <w:rFonts w:ascii="Arial" w:hAnsi="Arial" w:cs="Arial"/>
          <w:b/>
          <w:sz w:val="20"/>
          <w:szCs w:val="20"/>
        </w:rPr>
        <w:lastRenderedPageBreak/>
        <w:t>Příloha A1 Dohody</w:t>
      </w:r>
    </w:p>
    <w:p w:rsidR="00074B34" w:rsidRPr="007E523D" w:rsidRDefault="00074B34" w:rsidP="00074B34">
      <w:pPr>
        <w:jc w:val="right"/>
        <w:rPr>
          <w:rFonts w:ascii="Arial" w:hAnsi="Arial" w:cs="Arial"/>
          <w:sz w:val="20"/>
          <w:szCs w:val="20"/>
        </w:rPr>
      </w:pPr>
    </w:p>
    <w:p w:rsidR="00074B34" w:rsidRPr="007E523D" w:rsidRDefault="00074B34" w:rsidP="00074B34">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rsidR="00074B34" w:rsidRPr="007E523D" w:rsidRDefault="00074B34" w:rsidP="00074B34">
      <w:pPr>
        <w:jc w:val="center"/>
        <w:rPr>
          <w:rFonts w:ascii="Arial" w:hAnsi="Arial" w:cs="Arial"/>
          <w:b/>
          <w:sz w:val="20"/>
          <w:szCs w:val="20"/>
        </w:rPr>
      </w:pPr>
    </w:p>
    <w:p w:rsidR="00074B34" w:rsidRPr="007E523D" w:rsidRDefault="00074B34" w:rsidP="00074B34">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rsidR="00074B34" w:rsidRPr="007E523D" w:rsidRDefault="00074B34" w:rsidP="00074B34">
      <w:pPr>
        <w:spacing w:after="0"/>
        <w:rPr>
          <w:rFonts w:ascii="Arial" w:eastAsia="Batang" w:hAnsi="Arial" w:cs="Arial"/>
          <w:b/>
          <w:sz w:val="20"/>
          <w:szCs w:val="20"/>
        </w:rPr>
      </w:pPr>
    </w:p>
    <w:p w:rsidR="00074B34" w:rsidRPr="00D86FB1" w:rsidRDefault="00074B34" w:rsidP="004138BC">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rsidR="00074B34" w:rsidRPr="00D86FB1"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D86FB1" w:rsidRDefault="00074B34" w:rsidP="00074B34">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D86FB1" w:rsidRDefault="00074B34" w:rsidP="00074B34">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7E523D" w:rsidRDefault="00074B34" w:rsidP="00074B34">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rsidR="00074B34" w:rsidRPr="007E523D" w:rsidRDefault="00074B34" w:rsidP="00074B34">
      <w:pPr>
        <w:spacing w:after="0"/>
        <w:rPr>
          <w:rFonts w:ascii="Arial" w:eastAsia="Batang" w:hAnsi="Arial" w:cs="Arial"/>
          <w:bCs/>
          <w:color w:val="C00000"/>
          <w:sz w:val="20"/>
          <w:szCs w:val="20"/>
        </w:rPr>
      </w:pPr>
    </w:p>
    <w:p w:rsidR="00074B34" w:rsidRPr="00D86FB1" w:rsidRDefault="00074B34" w:rsidP="00074B34">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7E523D" w:rsidRDefault="00074B34" w:rsidP="00074B34">
      <w:pPr>
        <w:rPr>
          <w:rFonts w:ascii="Arial" w:hAnsi="Arial" w:cs="Arial"/>
          <w:b/>
          <w:sz w:val="20"/>
          <w:szCs w:val="20"/>
        </w:rPr>
      </w:pPr>
    </w:p>
    <w:p w:rsidR="00074B34" w:rsidRPr="007E523D" w:rsidRDefault="00074B34" w:rsidP="00074B34">
      <w:pPr>
        <w:pStyle w:val="Odstavecseseznamem"/>
        <w:autoSpaceDE w:val="0"/>
        <w:autoSpaceDN w:val="0"/>
        <w:adjustRightInd w:val="0"/>
        <w:spacing w:after="120" w:line="240" w:lineRule="auto"/>
        <w:ind w:left="0"/>
        <w:contextualSpacing w:val="0"/>
        <w:jc w:val="both"/>
        <w:rPr>
          <w:rFonts w:ascii="Arial" w:hAnsi="Arial" w:cs="Arial"/>
          <w:sz w:val="20"/>
          <w:szCs w:val="20"/>
        </w:rPr>
      </w:pPr>
    </w:p>
    <w:p w:rsidR="00074B34" w:rsidRPr="007E523D" w:rsidRDefault="00074B34" w:rsidP="004138BC">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rsidR="00074B34" w:rsidRPr="004138BC"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rsidR="00074B34" w:rsidRPr="004138BC" w:rsidRDefault="00074B34" w:rsidP="00074B34">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rsidR="00074B34" w:rsidRPr="004138BC" w:rsidRDefault="00074B34" w:rsidP="00074B34">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rsidR="00074B34" w:rsidRPr="007E523D" w:rsidRDefault="00074B34" w:rsidP="00074B34">
      <w:pPr>
        <w:spacing w:after="0"/>
        <w:jc w:val="both"/>
        <w:rPr>
          <w:rFonts w:ascii="Arial" w:eastAsia="Batang" w:hAnsi="Arial" w:cs="Arial"/>
          <w:sz w:val="20"/>
          <w:szCs w:val="20"/>
        </w:rPr>
      </w:pPr>
    </w:p>
    <w:p w:rsidR="00074B34" w:rsidRPr="007E523D" w:rsidRDefault="00074B34" w:rsidP="00074B34">
      <w:pPr>
        <w:spacing w:after="0"/>
        <w:jc w:val="both"/>
        <w:rPr>
          <w:rFonts w:ascii="Arial" w:eastAsia="Batang" w:hAnsi="Arial" w:cs="Arial"/>
          <w:sz w:val="20"/>
          <w:szCs w:val="20"/>
        </w:rPr>
      </w:pPr>
    </w:p>
    <w:p w:rsidR="00074B34" w:rsidRPr="007E523D" w:rsidRDefault="00074B34" w:rsidP="00074B34">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rsidR="00074B34" w:rsidRPr="007E523D" w:rsidRDefault="00074B34" w:rsidP="00074B34">
      <w:pPr>
        <w:rPr>
          <w:rFonts w:ascii="Arial" w:hAnsi="Arial" w:cs="Arial"/>
          <w:sz w:val="20"/>
          <w:szCs w:val="20"/>
        </w:rPr>
      </w:pPr>
    </w:p>
    <w:p w:rsidR="00074B34" w:rsidRPr="007E523D" w:rsidRDefault="00074B34" w:rsidP="00074B34">
      <w:pPr>
        <w:rPr>
          <w:rFonts w:ascii="Arial" w:hAnsi="Arial" w:cs="Arial"/>
          <w:sz w:val="20"/>
          <w:szCs w:val="20"/>
        </w:rPr>
      </w:pPr>
    </w:p>
    <w:p w:rsidR="00074B34" w:rsidRPr="007E523D" w:rsidRDefault="00074B34" w:rsidP="00074B34">
      <w:pPr>
        <w:rPr>
          <w:rFonts w:ascii="Arial" w:hAnsi="Arial" w:cs="Arial"/>
          <w:sz w:val="20"/>
          <w:szCs w:val="20"/>
        </w:rPr>
      </w:pPr>
    </w:p>
    <w:p w:rsidR="00074B34" w:rsidRPr="007E523D" w:rsidRDefault="00074B34" w:rsidP="00074B34">
      <w:pPr>
        <w:rPr>
          <w:rFonts w:ascii="Arial" w:hAnsi="Arial" w:cs="Arial"/>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r w:rsidRPr="007E523D">
        <w:rPr>
          <w:rFonts w:cs="Arial"/>
          <w:b/>
          <w:sz w:val="20"/>
          <w:szCs w:val="20"/>
        </w:rPr>
        <w:t>Příloha B1 Dohody</w:t>
      </w:r>
    </w:p>
    <w:p w:rsidR="00074B34" w:rsidRPr="007E523D" w:rsidRDefault="00074B34" w:rsidP="00074B34">
      <w:pPr>
        <w:pStyle w:val="Zkladntextodsazen"/>
        <w:spacing w:before="120" w:line="276" w:lineRule="auto"/>
        <w:ind w:left="0" w:firstLine="7088"/>
        <w:rPr>
          <w:rFonts w:cs="Arial"/>
          <w:b/>
          <w:sz w:val="20"/>
          <w:szCs w:val="20"/>
        </w:rPr>
      </w:pP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p>
    <w:p w:rsidR="00074B34" w:rsidRPr="00DA4818" w:rsidRDefault="00074B34" w:rsidP="00074B34">
      <w:pPr>
        <w:pStyle w:val="Zkladntextodsazen"/>
        <w:spacing w:before="120" w:line="276" w:lineRule="auto"/>
        <w:ind w:left="0"/>
        <w:jc w:val="both"/>
        <w:rPr>
          <w:rFonts w:cs="Arial"/>
          <w:b/>
        </w:rPr>
      </w:pPr>
      <w:r w:rsidRPr="00DA4818">
        <w:rPr>
          <w:rFonts w:cs="Arial"/>
          <w:b/>
        </w:rPr>
        <w:t>Předmět koupě spojovací postřik C 60 B3, C 60 B4</w:t>
      </w:r>
      <w:r w:rsidR="00D86FB1" w:rsidRPr="00DA4818">
        <w:rPr>
          <w:rFonts w:cs="Arial"/>
          <w:b/>
        </w:rPr>
        <w:t>, C 60 B5</w:t>
      </w:r>
      <w:r w:rsidRPr="00DA4818">
        <w:rPr>
          <w:rFonts w:cs="Arial"/>
          <w:b/>
        </w:rPr>
        <w:t xml:space="preserve"> </w:t>
      </w:r>
    </w:p>
    <w:p w:rsidR="00074B34" w:rsidRPr="00DA4818" w:rsidRDefault="00074B34" w:rsidP="00074B34">
      <w:pPr>
        <w:pStyle w:val="Zkladntextodsazen"/>
        <w:spacing w:before="120" w:line="276" w:lineRule="auto"/>
        <w:ind w:left="0"/>
        <w:jc w:val="both"/>
        <w:rPr>
          <w:rFonts w:cs="Arial"/>
          <w:b/>
          <w:sz w:val="20"/>
          <w:szCs w:val="20"/>
        </w:rPr>
      </w:pPr>
      <w:r w:rsidRPr="00DA4818">
        <w:rPr>
          <w:rFonts w:cs="Arial"/>
          <w:b/>
          <w:sz w:val="20"/>
          <w:szCs w:val="20"/>
        </w:rPr>
        <w:t>bude splňovat následující podmínky</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použitelnost na postřik spojovací;</w:t>
      </w:r>
    </w:p>
    <w:p w:rsidR="00074B34" w:rsidRPr="00DA4818" w:rsidRDefault="00074B34" w:rsidP="00074B34">
      <w:pPr>
        <w:pStyle w:val="Zkladntextodsazen"/>
        <w:numPr>
          <w:ilvl w:val="0"/>
          <w:numId w:val="14"/>
        </w:numPr>
        <w:spacing w:line="276" w:lineRule="auto"/>
        <w:ind w:left="720" w:right="-143"/>
        <w:jc w:val="both"/>
        <w:rPr>
          <w:rFonts w:cs="Arial"/>
          <w:sz w:val="20"/>
          <w:szCs w:val="20"/>
        </w:rPr>
      </w:pPr>
      <w:r w:rsidRPr="00DA4818">
        <w:rPr>
          <w:rFonts w:cs="Arial"/>
          <w:sz w:val="20"/>
          <w:szCs w:val="20"/>
        </w:rPr>
        <w:t>musí splňovat požadavky platných TP, TKP a ČSN, zejm. ČSN EN 13808:2013 a ČSN 73 6132 a zkoušku PAV dle ČSN EN 14769, není-li v této rámcové dohodě dále stanoveno jinak;</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minimální obsah asfaltu 60 %;</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štěpitelnost 70 – 195 (třída 3 a 4 dle ČSN EN 13808:2013);</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skladovatelnost min. 6 týdnů;</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dodávka emulze na místo určení ohřáté na 60°C;</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zkouška PAV dle ČSN EN 14769:</w:t>
      </w:r>
    </w:p>
    <w:p w:rsidR="00074B34" w:rsidRPr="00DA4818" w:rsidRDefault="00074B34" w:rsidP="00074B34">
      <w:pPr>
        <w:pStyle w:val="Zkladntextodsazen"/>
        <w:ind w:left="720"/>
        <w:jc w:val="both"/>
        <w:rPr>
          <w:rFonts w:cs="Arial"/>
          <w:sz w:val="20"/>
          <w:szCs w:val="20"/>
        </w:rPr>
      </w:pPr>
      <w:r w:rsidRPr="00DA4818">
        <w:rPr>
          <w:rFonts w:cs="Arial"/>
          <w:sz w:val="20"/>
          <w:szCs w:val="20"/>
        </w:rPr>
        <w:t>- penetrace při 25°C ≤ 100 (třída 3 dle ČSN EN 13808:2013),</w:t>
      </w:r>
    </w:p>
    <w:p w:rsidR="00074B34" w:rsidRPr="00DA4818" w:rsidRDefault="00074B34" w:rsidP="00074B34">
      <w:pPr>
        <w:pStyle w:val="Zkladntextodsazen"/>
        <w:ind w:left="720"/>
        <w:jc w:val="both"/>
        <w:rPr>
          <w:rFonts w:cs="Arial"/>
          <w:sz w:val="20"/>
          <w:szCs w:val="20"/>
        </w:rPr>
      </w:pPr>
      <w:r w:rsidRPr="00DA4818">
        <w:rPr>
          <w:rFonts w:cs="Arial"/>
          <w:sz w:val="20"/>
          <w:szCs w:val="20"/>
        </w:rPr>
        <w:t>- bod měknutí ≥ 55 (třída 3 dle ČSN EN 13808:2013),</w:t>
      </w:r>
    </w:p>
    <w:p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doba výtoku 2 mm při 40°C 15 – 70 (třída 3 dle ČSN EN 13808:2013).</w:t>
      </w: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Pr="00BF5A35" w:rsidRDefault="00074B34" w:rsidP="00074B34">
      <w:pPr>
        <w:pStyle w:val="Zkladntextodsazen"/>
        <w:spacing w:before="120" w:line="276" w:lineRule="auto"/>
        <w:ind w:right="-1"/>
        <w:jc w:val="right"/>
        <w:rPr>
          <w:rFonts w:cs="Arial"/>
          <w:b/>
          <w:sz w:val="20"/>
          <w:szCs w:val="20"/>
        </w:rPr>
      </w:pPr>
      <w:r w:rsidRPr="00BF5A35">
        <w:rPr>
          <w:rFonts w:cs="Arial"/>
          <w:b/>
          <w:sz w:val="20"/>
          <w:szCs w:val="20"/>
        </w:rPr>
        <w:t>Příloha B2 Dohody</w:t>
      </w:r>
    </w:p>
    <w:p w:rsidR="00074B34" w:rsidRPr="007E523D" w:rsidRDefault="00074B34" w:rsidP="00074B34">
      <w:pPr>
        <w:pStyle w:val="Zkladntextodsazen"/>
        <w:spacing w:before="120" w:line="276" w:lineRule="auto"/>
        <w:jc w:val="both"/>
        <w:rPr>
          <w:rFonts w:cs="Arial"/>
          <w:sz w:val="20"/>
          <w:szCs w:val="20"/>
        </w:rPr>
      </w:pPr>
    </w:p>
    <w:p w:rsidR="00074B34" w:rsidRPr="00DA4818" w:rsidRDefault="00074B34" w:rsidP="00074B34">
      <w:pPr>
        <w:pStyle w:val="Zkladntextodsazen"/>
        <w:spacing w:before="120" w:line="276" w:lineRule="auto"/>
        <w:ind w:left="0"/>
        <w:jc w:val="both"/>
        <w:rPr>
          <w:rFonts w:cs="Arial"/>
          <w:b/>
        </w:rPr>
      </w:pPr>
      <w:r w:rsidRPr="00DA4818">
        <w:rPr>
          <w:rFonts w:cs="Arial"/>
          <w:b/>
        </w:rPr>
        <w:t>Předmět koupě emulze pro nátěry C65 B3, C65 B4 a na výspravy tryskovou metodou C65 B3, C65 B4, C65 B5</w:t>
      </w:r>
    </w:p>
    <w:p w:rsidR="00074B34" w:rsidRPr="00DA4818" w:rsidRDefault="00074B34" w:rsidP="00074B34">
      <w:pPr>
        <w:pStyle w:val="Zkladntextodsazen"/>
        <w:spacing w:before="120" w:line="276" w:lineRule="auto"/>
        <w:ind w:left="0"/>
        <w:jc w:val="both"/>
        <w:rPr>
          <w:rFonts w:cs="Arial"/>
          <w:b/>
          <w:sz w:val="20"/>
          <w:szCs w:val="20"/>
        </w:rPr>
      </w:pPr>
      <w:r w:rsidRPr="00DA4818">
        <w:rPr>
          <w:rFonts w:cs="Arial"/>
          <w:b/>
          <w:sz w:val="20"/>
          <w:szCs w:val="20"/>
        </w:rPr>
        <w:t>bude splňovat následující podmínky:</w:t>
      </w:r>
    </w:p>
    <w:p w:rsidR="00074B34" w:rsidRPr="00DA4818" w:rsidRDefault="00074B34" w:rsidP="00074B34">
      <w:pPr>
        <w:pStyle w:val="Zkladntextodsazen"/>
        <w:numPr>
          <w:ilvl w:val="0"/>
          <w:numId w:val="15"/>
        </w:numPr>
        <w:spacing w:line="276" w:lineRule="auto"/>
        <w:jc w:val="both"/>
        <w:rPr>
          <w:rFonts w:cs="Arial"/>
          <w:sz w:val="20"/>
          <w:szCs w:val="20"/>
        </w:rPr>
      </w:pPr>
      <w:r w:rsidRPr="00DA4818">
        <w:rPr>
          <w:rFonts w:cs="Arial"/>
          <w:sz w:val="20"/>
          <w:szCs w:val="20"/>
        </w:rPr>
        <w:t>použitelnost na výspravy tryskovou metodou a nátěry vozovek;</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pro obě technologie dodání jen jednoho druhu emulze;</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musí splňovat požadavky platných TP, TKP a ČSN, zejm. ČSN EN 13808:2013 a ČSN 73 6132 a zkoušku PAV dle ČSN EN 14769, není-li v této rámcové dohodě dále stanoveno jinak;</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minimální obsah asfaltu 65 %;</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přilnavost ke kamenivu min. 90% (použité kamenivo v rozsahu 2/4, 2/5, 4/8 );</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štěpitelnost 70 – 230 (třída 3 až 5 dle ČSN EN 13808:2013);</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skladovatelnost min. 6 týdnů;</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dodávka emulze na místo určení ohřáté na 60°C;</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zkouška PAV dle ČSN EN 14769:</w:t>
      </w:r>
    </w:p>
    <w:p w:rsidR="00074B34" w:rsidRPr="00DA4818" w:rsidRDefault="00074B34" w:rsidP="00074B34">
      <w:pPr>
        <w:pStyle w:val="Zkladntextodsazen"/>
        <w:ind w:left="720"/>
        <w:jc w:val="both"/>
        <w:rPr>
          <w:rFonts w:cs="Arial"/>
          <w:sz w:val="20"/>
          <w:szCs w:val="20"/>
        </w:rPr>
      </w:pPr>
      <w:r w:rsidRPr="00DA4818">
        <w:rPr>
          <w:rFonts w:cs="Arial"/>
          <w:sz w:val="20"/>
          <w:szCs w:val="20"/>
        </w:rPr>
        <w:t>- penetrace při 25°C ≤ 100 (třída 3 dle ČSN EN 13808:2013),</w:t>
      </w:r>
    </w:p>
    <w:p w:rsidR="00074B34" w:rsidRPr="00DA4818" w:rsidRDefault="00074B34" w:rsidP="00074B34">
      <w:pPr>
        <w:pStyle w:val="Zkladntextodsazen"/>
        <w:ind w:left="720"/>
        <w:jc w:val="both"/>
        <w:rPr>
          <w:rFonts w:cs="Arial"/>
          <w:sz w:val="20"/>
          <w:szCs w:val="20"/>
        </w:rPr>
      </w:pPr>
      <w:r w:rsidRPr="00DA4818">
        <w:rPr>
          <w:rFonts w:cs="Arial"/>
          <w:sz w:val="20"/>
          <w:szCs w:val="20"/>
        </w:rPr>
        <w:t>- bod měknutí ≥ 55 (třída 3 dle ČSN EN 13808:2013),</w:t>
      </w:r>
    </w:p>
    <w:p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doba výtoku 2 mm při 40°C 15 – 70 (třída 3 dle ČSN EN 13808:2013).</w:t>
      </w: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104046" w:rsidRDefault="00074B34" w:rsidP="00074B34">
      <w:pPr>
        <w:pStyle w:val="Zkladntextodsazen"/>
        <w:spacing w:before="120" w:line="276" w:lineRule="auto"/>
        <w:jc w:val="both"/>
        <w:rPr>
          <w:rFonts w:ascii="Calibri" w:hAnsi="Calibri" w:cs="Calibri"/>
        </w:rPr>
      </w:pPr>
    </w:p>
    <w:p w:rsidR="00B866E4" w:rsidRDefault="00B866E4"/>
    <w:sectPr w:rsidR="00B866E4" w:rsidSect="00CC19ED">
      <w:headerReference w:type="default" r:id="rId8"/>
      <w:footerReference w:type="default" r:id="rId9"/>
      <w:footerReference w:type="first" r:id="rId10"/>
      <w:pgSz w:w="11907" w:h="16840"/>
      <w:pgMar w:top="1466" w:right="1418" w:bottom="1418" w:left="1418" w:header="993"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C61" w:rsidRDefault="00222362">
      <w:pPr>
        <w:spacing w:after="0" w:line="240" w:lineRule="auto"/>
      </w:pPr>
      <w:r>
        <w:separator/>
      </w:r>
    </w:p>
  </w:endnote>
  <w:endnote w:type="continuationSeparator" w:id="0">
    <w:p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F" w:rsidRPr="00DA4818" w:rsidRDefault="00074B34" w:rsidP="00D937BF">
    <w:pPr>
      <w:pStyle w:val="Zpat"/>
      <w:pBdr>
        <w:top w:val="single" w:sz="4" w:space="1" w:color="auto"/>
      </w:pBdr>
      <w:jc w:val="center"/>
      <w:rPr>
        <w:rFonts w:ascii="Arial" w:hAnsi="Arial" w:cs="Arial"/>
        <w:sz w:val="16"/>
        <w:szCs w:val="16"/>
      </w:rPr>
    </w:pPr>
    <w:r w:rsidRPr="00DA4818">
      <w:rPr>
        <w:rFonts w:ascii="Arial" w:hAnsi="Arial" w:cs="Arial"/>
        <w:sz w:val="16"/>
        <w:szCs w:val="16"/>
      </w:rPr>
      <w:t xml:space="preserve">Stránka </w:t>
    </w:r>
    <w:r w:rsidRPr="00DA4818">
      <w:rPr>
        <w:rFonts w:ascii="Arial" w:hAnsi="Arial" w:cs="Arial"/>
        <w:b/>
        <w:sz w:val="16"/>
        <w:szCs w:val="16"/>
      </w:rPr>
      <w:fldChar w:fldCharType="begin"/>
    </w:r>
    <w:r w:rsidRPr="00DA4818">
      <w:rPr>
        <w:rFonts w:ascii="Arial" w:hAnsi="Arial" w:cs="Arial"/>
        <w:b/>
        <w:sz w:val="16"/>
        <w:szCs w:val="16"/>
      </w:rPr>
      <w:instrText>PAGE</w:instrText>
    </w:r>
    <w:r w:rsidRPr="00DA4818">
      <w:rPr>
        <w:rFonts w:ascii="Arial" w:hAnsi="Arial" w:cs="Arial"/>
        <w:b/>
        <w:sz w:val="16"/>
        <w:szCs w:val="16"/>
      </w:rPr>
      <w:fldChar w:fldCharType="separate"/>
    </w:r>
    <w:r w:rsidR="00303433">
      <w:rPr>
        <w:rFonts w:ascii="Arial" w:hAnsi="Arial" w:cs="Arial"/>
        <w:b/>
        <w:noProof/>
        <w:sz w:val="16"/>
        <w:szCs w:val="16"/>
      </w:rPr>
      <w:t>14</w:t>
    </w:r>
    <w:r w:rsidRPr="00DA4818">
      <w:rPr>
        <w:rFonts w:ascii="Arial" w:hAnsi="Arial" w:cs="Arial"/>
        <w:b/>
        <w:sz w:val="16"/>
        <w:szCs w:val="16"/>
      </w:rPr>
      <w:fldChar w:fldCharType="end"/>
    </w:r>
    <w:r w:rsidRPr="00DA4818">
      <w:rPr>
        <w:rFonts w:ascii="Arial" w:hAnsi="Arial" w:cs="Arial"/>
        <w:sz w:val="16"/>
        <w:szCs w:val="16"/>
      </w:rPr>
      <w:t xml:space="preserve"> z </w:t>
    </w:r>
    <w:r w:rsidRPr="00DA4818">
      <w:rPr>
        <w:rFonts w:ascii="Arial" w:hAnsi="Arial" w:cs="Arial"/>
        <w:b/>
        <w:sz w:val="16"/>
        <w:szCs w:val="16"/>
      </w:rPr>
      <w:fldChar w:fldCharType="begin"/>
    </w:r>
    <w:r w:rsidRPr="00DA4818">
      <w:rPr>
        <w:rFonts w:ascii="Arial" w:hAnsi="Arial" w:cs="Arial"/>
        <w:b/>
        <w:sz w:val="16"/>
        <w:szCs w:val="16"/>
      </w:rPr>
      <w:instrText>NUMPAGES</w:instrText>
    </w:r>
    <w:r w:rsidRPr="00DA4818">
      <w:rPr>
        <w:rFonts w:ascii="Arial" w:hAnsi="Arial" w:cs="Arial"/>
        <w:b/>
        <w:sz w:val="16"/>
        <w:szCs w:val="16"/>
      </w:rPr>
      <w:fldChar w:fldCharType="separate"/>
    </w:r>
    <w:r w:rsidR="00303433">
      <w:rPr>
        <w:rFonts w:ascii="Arial" w:hAnsi="Arial" w:cs="Arial"/>
        <w:b/>
        <w:noProof/>
        <w:sz w:val="16"/>
        <w:szCs w:val="16"/>
      </w:rPr>
      <w:t>14</w:t>
    </w:r>
    <w:r w:rsidRPr="00DA4818">
      <w:rPr>
        <w:rFonts w:ascii="Arial" w:hAnsi="Arial" w:cs="Arial"/>
        <w:b/>
        <w:sz w:val="16"/>
        <w:szCs w:val="16"/>
      </w:rPr>
      <w:fldChar w:fldCharType="end"/>
    </w:r>
  </w:p>
  <w:p w:rsidR="00FF3C8F" w:rsidRDefault="00303433">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rsidR="00FF3C8F" w:rsidRDefault="003034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C61" w:rsidRDefault="00222362">
      <w:pPr>
        <w:spacing w:after="0" w:line="240" w:lineRule="auto"/>
      </w:pPr>
      <w:r>
        <w:separator/>
      </w:r>
    </w:p>
  </w:footnote>
  <w:footnote w:type="continuationSeparator" w:id="0">
    <w:p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E17" w:rsidRDefault="00921E17" w:rsidP="00DA4818">
    <w:pPr>
      <w:pStyle w:val="Zhlav"/>
      <w:rPr>
        <w:rFonts w:ascii="Arial" w:hAnsi="Arial" w:cs="Arial"/>
        <w:b/>
        <w:sz w:val="16"/>
        <w:szCs w:val="16"/>
      </w:rPr>
    </w:pPr>
    <w:r w:rsidRPr="00921E17">
      <w:rPr>
        <w:rFonts w:ascii="Arial" w:hAnsi="Arial" w:cs="Arial"/>
        <w:b/>
        <w:noProof/>
        <w:sz w:val="16"/>
        <w:szCs w:val="16"/>
      </w:rPr>
      <w:drawing>
        <wp:anchor distT="0" distB="0" distL="114300" distR="114300" simplePos="0" relativeHeight="251658240" behindDoc="0" locked="0" layoutInCell="1" allowOverlap="1">
          <wp:simplePos x="0" y="0"/>
          <wp:positionH relativeFrom="margin">
            <wp:align>left</wp:align>
          </wp:positionH>
          <wp:positionV relativeFrom="margin">
            <wp:posOffset>-947420</wp:posOffset>
          </wp:positionV>
          <wp:extent cx="2565400" cy="550545"/>
          <wp:effectExtent l="0" t="0" r="6350" b="1905"/>
          <wp:wrapSquare wrapText="bothSides"/>
          <wp:docPr id="6" name="Obrázek 6"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rsidR="00251B63" w:rsidRDefault="00074B34" w:rsidP="00DA4818">
    <w:pPr>
      <w:pStyle w:val="Zhlav"/>
      <w:rPr>
        <w:rFonts w:ascii="Arial" w:hAnsi="Arial" w:cs="Arial"/>
        <w:sz w:val="16"/>
        <w:szCs w:val="16"/>
      </w:rPr>
    </w:pPr>
    <w:r w:rsidRPr="00356B68">
      <w:rPr>
        <w:rFonts w:ascii="Arial" w:hAnsi="Arial" w:cs="Arial"/>
        <w:b/>
        <w:sz w:val="16"/>
        <w:szCs w:val="16"/>
      </w:rPr>
      <w:t>Rámcov</w:t>
    </w:r>
    <w:r w:rsidR="00222362">
      <w:rPr>
        <w:rFonts w:ascii="Arial" w:hAnsi="Arial" w:cs="Arial"/>
        <w:b/>
        <w:sz w:val="16"/>
        <w:szCs w:val="16"/>
      </w:rPr>
      <w:t>á</w:t>
    </w:r>
    <w:r w:rsidRPr="00356B68">
      <w:rPr>
        <w:rFonts w:ascii="Arial" w:hAnsi="Arial" w:cs="Arial"/>
        <w:b/>
        <w:sz w:val="16"/>
        <w:szCs w:val="16"/>
      </w:rPr>
      <w:t xml:space="preserve"> dohod</w:t>
    </w:r>
    <w:r w:rsidR="00222362">
      <w:rPr>
        <w:rFonts w:ascii="Arial" w:hAnsi="Arial" w:cs="Arial"/>
        <w:b/>
        <w:sz w:val="16"/>
        <w:szCs w:val="16"/>
      </w:rPr>
      <w:t>a</w:t>
    </w:r>
    <w:r w:rsidRPr="00356B68">
      <w:rPr>
        <w:rFonts w:ascii="Arial" w:hAnsi="Arial" w:cs="Arial"/>
        <w:b/>
        <w:sz w:val="16"/>
        <w:szCs w:val="16"/>
      </w:rPr>
      <w:t xml:space="preserve"> na dodávku kationaktivní asfaltové emulze</w:t>
    </w:r>
    <w:r w:rsidRPr="00356B68">
      <w:rPr>
        <w:rFonts w:ascii="Arial" w:hAnsi="Arial" w:cs="Arial"/>
        <w:sz w:val="16"/>
        <w:szCs w:val="16"/>
      </w:rPr>
      <w:t xml:space="preserve"> </w:t>
    </w:r>
    <w:r w:rsidRPr="00356B68">
      <w:rPr>
        <w:rFonts w:ascii="Arial" w:hAnsi="Arial" w:cs="Arial"/>
        <w:b/>
        <w:sz w:val="16"/>
        <w:szCs w:val="16"/>
      </w:rPr>
      <w:t xml:space="preserve">v roce </w:t>
    </w:r>
    <w:r w:rsidR="00A90C38" w:rsidRPr="00356B68">
      <w:rPr>
        <w:rFonts w:ascii="Arial" w:hAnsi="Arial" w:cs="Arial"/>
        <w:b/>
        <w:sz w:val="16"/>
        <w:szCs w:val="16"/>
      </w:rPr>
      <w:t>202</w:t>
    </w:r>
    <w:r w:rsidR="00A90C38">
      <w:rPr>
        <w:rFonts w:ascii="Arial" w:hAnsi="Arial" w:cs="Arial"/>
        <w:b/>
        <w:sz w:val="16"/>
        <w:szCs w:val="16"/>
      </w:rPr>
      <w:t>3</w:t>
    </w:r>
    <w:r w:rsidRPr="00356B68">
      <w:rPr>
        <w:rFonts w:ascii="Arial" w:hAnsi="Arial" w:cs="Arial"/>
        <w:sz w:val="16"/>
        <w:szCs w:val="16"/>
      </w:rPr>
      <w:tab/>
      <w:t>Příloha B1</w:t>
    </w:r>
  </w:p>
  <w:p w:rsidR="00921E17" w:rsidRPr="00356B68" w:rsidRDefault="00921E17" w:rsidP="00DA4818">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074624"/>
    <w:multiLevelType w:val="hybridMultilevel"/>
    <w:tmpl w:val="19D4451C"/>
    <w:lvl w:ilvl="0" w:tplc="C2DE4D70">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8"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9"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D3439F"/>
    <w:multiLevelType w:val="hybridMultilevel"/>
    <w:tmpl w:val="F0742CBC"/>
    <w:lvl w:ilvl="0" w:tplc="927ADBF8">
      <w:start w:val="1"/>
      <w:numFmt w:val="decimal"/>
      <w:lvlText w:val="6.%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3"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FE42C8B4"/>
    <w:lvl w:ilvl="0" w:tplc="4DA08378">
      <w:start w:val="1"/>
      <w:numFmt w:val="decimal"/>
      <w:lvlText w:val="10.%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1637AD"/>
    <w:multiLevelType w:val="hybridMultilevel"/>
    <w:tmpl w:val="5B88D8D6"/>
    <w:lvl w:ilvl="0" w:tplc="7A685308">
      <w:start w:val="1"/>
      <w:numFmt w:val="lowerLetter"/>
      <w:lvlText w:val="%1."/>
      <w:lvlJc w:val="left"/>
      <w:pPr>
        <w:tabs>
          <w:tab w:val="num" w:pos="1440"/>
        </w:tabs>
        <w:ind w:left="14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C40368"/>
    <w:multiLevelType w:val="hybridMultilevel"/>
    <w:tmpl w:val="EE6EAD8A"/>
    <w:lvl w:ilvl="0" w:tplc="2910ABAE">
      <w:start w:val="1"/>
      <w:numFmt w:val="decimal"/>
      <w:lvlText w:val="5.%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17"/>
  </w:num>
  <w:num w:numId="6">
    <w:abstractNumId w:val="11"/>
  </w:num>
  <w:num w:numId="7">
    <w:abstractNumId w:val="13"/>
  </w:num>
  <w:num w:numId="8">
    <w:abstractNumId w:val="9"/>
  </w:num>
  <w:num w:numId="9">
    <w:abstractNumId w:val="15"/>
  </w:num>
  <w:num w:numId="10">
    <w:abstractNumId w:val="4"/>
  </w:num>
  <w:num w:numId="11">
    <w:abstractNumId w:val="12"/>
  </w:num>
  <w:num w:numId="12">
    <w:abstractNumId w:val="3"/>
  </w:num>
  <w:num w:numId="13">
    <w:abstractNumId w:val="10"/>
  </w:num>
  <w:num w:numId="14">
    <w:abstractNumId w:val="7"/>
  </w:num>
  <w:num w:numId="15">
    <w:abstractNumId w:val="8"/>
  </w:num>
  <w:num w:numId="16">
    <w:abstractNumId w:val="14"/>
  </w:num>
  <w:num w:numId="17">
    <w:abstractNumId w:val="1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F34AC"/>
    <w:rsid w:val="00222362"/>
    <w:rsid w:val="002379D8"/>
    <w:rsid w:val="00303433"/>
    <w:rsid w:val="00334DFB"/>
    <w:rsid w:val="00341AFB"/>
    <w:rsid w:val="00344844"/>
    <w:rsid w:val="00365824"/>
    <w:rsid w:val="003A7836"/>
    <w:rsid w:val="003B2852"/>
    <w:rsid w:val="003D6E1D"/>
    <w:rsid w:val="004138BC"/>
    <w:rsid w:val="00470F28"/>
    <w:rsid w:val="004A6E87"/>
    <w:rsid w:val="004C0A0A"/>
    <w:rsid w:val="00807674"/>
    <w:rsid w:val="00857317"/>
    <w:rsid w:val="00921E17"/>
    <w:rsid w:val="00A90C38"/>
    <w:rsid w:val="00B866E4"/>
    <w:rsid w:val="00C01D9D"/>
    <w:rsid w:val="00C33C61"/>
    <w:rsid w:val="00CC19ED"/>
    <w:rsid w:val="00D72E22"/>
    <w:rsid w:val="00D86FB1"/>
    <w:rsid w:val="00DA4818"/>
    <w:rsid w:val="00E465AB"/>
    <w:rsid w:val="00EB0B9C"/>
    <w:rsid w:val="00F06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DD3913"/>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paragraph" w:styleId="Textbubliny">
    <w:name w:val="Balloon Text"/>
    <w:basedOn w:val="Normln"/>
    <w:link w:val="TextbublinyChar"/>
    <w:uiPriority w:val="99"/>
    <w:semiHidden/>
    <w:unhideWhenUsed/>
    <w:rsid w:val="00EB0B9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0B9C"/>
    <w:rPr>
      <w:rFonts w:ascii="Segoe UI" w:eastAsia="Times New Roman" w:hAnsi="Segoe UI" w:cs="Segoe UI"/>
      <w:sz w:val="18"/>
      <w:szCs w:val="18"/>
      <w:lang w:eastAsia="cs-CZ"/>
    </w:rPr>
  </w:style>
  <w:style w:type="paragraph" w:customStyle="1" w:styleId="CM1">
    <w:name w:val="CM1"/>
    <w:basedOn w:val="Normln"/>
    <w:next w:val="Normln"/>
    <w:uiPriority w:val="99"/>
    <w:rsid w:val="00EB0B9C"/>
    <w:pPr>
      <w:autoSpaceDE w:val="0"/>
      <w:autoSpaceDN w:val="0"/>
      <w:adjustRightInd w:val="0"/>
      <w:spacing w:after="0" w:line="240" w:lineRule="auto"/>
    </w:pPr>
    <w:rPr>
      <w:rFonts w:ascii="Times New Roman" w:eastAsiaTheme="minorHAnsi"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344</TotalTime>
  <Pages>14</Pages>
  <Words>4515</Words>
  <Characters>26639</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18</cp:revision>
  <dcterms:created xsi:type="dcterms:W3CDTF">2022-01-19T12:36:00Z</dcterms:created>
  <dcterms:modified xsi:type="dcterms:W3CDTF">2023-04-28T10:17:00Z</dcterms:modified>
</cp:coreProperties>
</file>