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F16ACF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F16ACF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ACF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BC0045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E0C06" w:rsidRPr="002E0C06" w:rsidRDefault="002E0C06" w:rsidP="002E0C06">
      <w:pPr>
        <w:jc w:val="both"/>
        <w:rPr>
          <w:rFonts w:ascii="Arial" w:hAnsi="Arial" w:cs="Arial"/>
          <w:sz w:val="20"/>
          <w:szCs w:val="20"/>
        </w:rPr>
      </w:pPr>
      <w:r w:rsidRPr="00AD2637">
        <w:rPr>
          <w:rFonts w:ascii="Times New Roman" w:hAnsi="Times New Roman"/>
          <w:b/>
          <w:sz w:val="24"/>
          <w:szCs w:val="24"/>
          <w:u w:val="single"/>
        </w:rPr>
        <w:t>„</w:t>
      </w:r>
      <w:r w:rsidRPr="002E0C06">
        <w:rPr>
          <w:rFonts w:ascii="Arial" w:hAnsi="Arial" w:cs="Arial"/>
          <w:b/>
          <w:sz w:val="20"/>
          <w:szCs w:val="20"/>
          <w:u w:val="single"/>
        </w:rPr>
        <w:t>II/399 Jinošov – Náměšť nad Oslavou“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E0C06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2E0C06" w:rsidRPr="002E0C06" w:rsidRDefault="002E0C06" w:rsidP="002E0C0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E0C06">
        <w:rPr>
          <w:rFonts w:ascii="Arial" w:hAnsi="Arial" w:cs="Arial"/>
          <w:bCs/>
          <w:sz w:val="20"/>
          <w:szCs w:val="20"/>
        </w:rPr>
        <w:t>Geodetické zaměření předmětného území (výškopisné a polohopisné zaměření) v potřebném rozsahu řešení komunikace</w:t>
      </w:r>
    </w:p>
    <w:p w:rsidR="002E0C06" w:rsidRPr="002E0C06" w:rsidRDefault="002E0C06" w:rsidP="002E0C0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E0C06">
        <w:rPr>
          <w:rFonts w:ascii="Arial" w:hAnsi="Arial" w:cs="Arial"/>
          <w:bCs/>
          <w:sz w:val="20"/>
          <w:szCs w:val="20"/>
        </w:rPr>
        <w:t xml:space="preserve">Vypracování inženýrsko-geologického průzkumu v místě nestabilního svahu včetně návrhu technického řešení </w:t>
      </w:r>
    </w:p>
    <w:p w:rsidR="002E0C06" w:rsidRPr="002E0C06" w:rsidRDefault="002E0C06" w:rsidP="002E0C0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E0C06">
        <w:rPr>
          <w:rFonts w:ascii="Arial" w:hAnsi="Arial" w:cs="Arial"/>
          <w:bCs/>
          <w:sz w:val="20"/>
          <w:szCs w:val="20"/>
        </w:rPr>
        <w:t>Vypracování projektové dokumentace pro povolení stavby (DPS)</w:t>
      </w:r>
      <w:r w:rsidRPr="002E0C06">
        <w:rPr>
          <w:rFonts w:ascii="Arial" w:hAnsi="Arial" w:cs="Arial"/>
          <w:bCs/>
          <w:sz w:val="20"/>
          <w:szCs w:val="20"/>
          <w:highlight w:val="yellow"/>
        </w:rPr>
        <w:t xml:space="preserve"> </w:t>
      </w:r>
    </w:p>
    <w:p w:rsidR="002E0C06" w:rsidRPr="002E0C06" w:rsidRDefault="002E0C06" w:rsidP="002E0C0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E0C06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SP k příslušnému stavebnímu úřadu</w:t>
      </w:r>
    </w:p>
    <w:p w:rsidR="002E0C06" w:rsidRPr="002E0C06" w:rsidRDefault="002E0C06" w:rsidP="002E0C0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E0C06">
        <w:rPr>
          <w:rFonts w:ascii="Arial" w:hAnsi="Arial" w:cs="Arial"/>
          <w:bCs/>
          <w:sz w:val="20"/>
          <w:szCs w:val="20"/>
        </w:rPr>
        <w:t>Zajištění povolení stavby (PS)</w:t>
      </w:r>
    </w:p>
    <w:p w:rsidR="002E0C06" w:rsidRPr="002E0C06" w:rsidRDefault="002E0C06" w:rsidP="002E0C0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E0C06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2E0C06" w:rsidRPr="002E0C06" w:rsidRDefault="002E0C06" w:rsidP="002E0C0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E0C06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2E0C06" w:rsidRPr="002E0C06" w:rsidRDefault="002E0C06" w:rsidP="002E0C06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2E0C06" w:rsidRPr="002E0C06" w:rsidRDefault="002E0C06" w:rsidP="002E0C06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Předmětem projekčních prací je projektová dokumentace</w:t>
      </w:r>
      <w:r>
        <w:rPr>
          <w:rFonts w:ascii="Arial" w:hAnsi="Arial" w:cs="Arial"/>
          <w:sz w:val="20"/>
          <w:szCs w:val="20"/>
        </w:rPr>
        <w:t xml:space="preserve"> -</w:t>
      </w:r>
      <w:r w:rsidRPr="002E0C06">
        <w:rPr>
          <w:rFonts w:ascii="Arial" w:hAnsi="Arial" w:cs="Arial"/>
          <w:sz w:val="20"/>
          <w:szCs w:val="20"/>
        </w:rPr>
        <w:t xml:space="preserve"> rekonstrukce komunikace II/399 v k. ú. Jinošov a Náměšť nad Oslavou a to ve staničení km 6,500 – 8,369 a 9,500 – 10,529, tedy v celkové délce 2898 m. Komunikace se nachází v okrese Třebíč, Kraj Vysočina.</w:t>
      </w:r>
    </w:p>
    <w:p w:rsidR="002E0C06" w:rsidRPr="002E0C06" w:rsidRDefault="002E0C06" w:rsidP="002E0C06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Ve staničení km přibližně 7,770 – 7,820 se komunikace nachází na asi 50 m dlouhé hrázi rybníka Dolní Baba. V tomto úseku požadujeme napřímení komunikace mimo hráz rybníka v souladu s územním plánem obce Náměšť nad Oslavou.</w:t>
      </w:r>
    </w:p>
    <w:p w:rsidR="002E0C06" w:rsidRPr="002E0C06" w:rsidRDefault="002E0C06" w:rsidP="002E0C0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Trasa opravovaného úseku navazuje na komunikaci II/399 na obchvat obce Jinošov v šířkovém uspořádání dle ČSN 73 6101, kategorie S7,5/90 (3 m jízdní pruh, 0,25 m zpevněná krajnice, 0,5 m nezpevněná). V rámci projektování obchvatu byl proveden průzkum na komunikaci II/399 pro stanovení obsahu PAU ve vozovce a to v km 6,700 – průzkum je k dispozici v zadávacích podmínkách.</w:t>
      </w:r>
    </w:p>
    <w:p w:rsidR="002E0C06" w:rsidRPr="002E0C06" w:rsidRDefault="002E0C06" w:rsidP="002E0C0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Zadavatel předpokládá, že stavební realizace bude probíhat za uzavřeného silničního provozu. Předpokládaná doba realizace stavebních prací – rok 2026.</w:t>
      </w:r>
    </w:p>
    <w:p w:rsidR="002E0C06" w:rsidRPr="002E0C06" w:rsidRDefault="002E0C06" w:rsidP="002E0C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2E0C06" w:rsidRPr="002E0C06" w:rsidRDefault="002E0C06" w:rsidP="002E0C06">
      <w:pPr>
        <w:rPr>
          <w:rFonts w:ascii="Arial" w:hAnsi="Arial" w:cs="Arial"/>
          <w:b/>
          <w:sz w:val="20"/>
          <w:szCs w:val="20"/>
          <w:u w:val="single"/>
        </w:rPr>
      </w:pPr>
    </w:p>
    <w:p w:rsidR="002E0C06" w:rsidRPr="002E0C06" w:rsidRDefault="002E0C06" w:rsidP="002E0C06">
      <w:pPr>
        <w:rPr>
          <w:rFonts w:ascii="Arial" w:hAnsi="Arial" w:cs="Arial"/>
          <w:b/>
          <w:sz w:val="20"/>
          <w:szCs w:val="20"/>
          <w:u w:val="single"/>
        </w:rPr>
      </w:pPr>
      <w:r w:rsidRPr="002E0C06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2E0C06" w:rsidRPr="002E0C06" w:rsidRDefault="002E0C06" w:rsidP="002E0C0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E0C06">
        <w:rPr>
          <w:rFonts w:ascii="Arial" w:hAnsi="Arial" w:cs="Arial"/>
          <w:b/>
          <w:sz w:val="20"/>
          <w:szCs w:val="20"/>
        </w:rPr>
        <w:t>Vypracování dokumentace pro povolení stavby</w:t>
      </w:r>
    </w:p>
    <w:p w:rsidR="002E0C06" w:rsidRPr="002E0C06" w:rsidRDefault="002E0C06" w:rsidP="002E0C0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</w:t>
      </w:r>
      <w:r w:rsidRPr="002E0C06">
        <w:rPr>
          <w:rFonts w:ascii="Arial" w:eastAsia="Times New Roman" w:hAnsi="Arial" w:cs="Arial"/>
          <w:sz w:val="20"/>
          <w:szCs w:val="20"/>
          <w:lang w:eastAsia="cs-CZ"/>
        </w:rPr>
        <w:t xml:space="preserve">schválené Ministerstvem dopravy, Odborem liniových staveb a silničního správního úřadu, č. j. MD-23142/2022-930/2, ze dne 12. 7. 2022, s účinností od 1. 8. 2022, Zákonem č. 283/2021 Sb. - Stavební zákon.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zákony. Novou vyhláškou č. 227/2024 Sb. - o rozsahu a obsahu projektové dokumentace staveb dopravní infrastruktury.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 Zákon č. 541/2020 Sb. - Zákon o </w:t>
      </w:r>
      <w:r w:rsidRPr="002E0C06">
        <w:rPr>
          <w:rFonts w:ascii="Arial" w:eastAsia="Times New Roman" w:hAnsi="Arial" w:cs="Arial"/>
          <w:sz w:val="20"/>
          <w:szCs w:val="20"/>
          <w:lang w:eastAsia="cs-CZ"/>
        </w:rPr>
        <w:lastRenderedPageBreak/>
        <w:t>odpadech. TP 210 Užití recyklovaných stavebních demoličních materiálů do pozemních komuni</w:t>
      </w:r>
      <w:r w:rsidR="00792788">
        <w:rPr>
          <w:rFonts w:ascii="Arial" w:eastAsia="Times New Roman" w:hAnsi="Arial" w:cs="Arial"/>
          <w:sz w:val="20"/>
          <w:szCs w:val="20"/>
          <w:lang w:eastAsia="cs-CZ"/>
        </w:rPr>
        <w:t>kací z 12/2023 a bude obsahovat</w:t>
      </w:r>
      <w:r w:rsidRPr="002E0C06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Vlastní návrh technického řešení rekonstrukce dané stavby bude proveden na základě IGP. Návrh bude projednaný na vstupním výrobním výboru. Součástí dokumentace bude řešení případných přeložek inženýrských sítí a úprava konstrukce silnice v daném rozsahu.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předmětné stavby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Podrobný inženýrskogeologický, geotechnický a hydrogeologický průzkum daného území (pokud bude pro zpracování PD a vydání příslušných stanovisek a povolení nutné)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Zákres stavby do aktuální katastrální mapy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Vytyčovací výkres stavby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Situace v měřítku min. 1:500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Zásady organizace výstavby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-      Definitivní dopravní značení včetně příslušných projednání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Statický výpočet, hydrotechnický výpočet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pozemků.</w:t>
      </w:r>
    </w:p>
    <w:p w:rsidR="002E0C06" w:rsidRPr="002E0C06" w:rsidRDefault="002E0C06" w:rsidP="002E0C0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2E0C06" w:rsidRPr="002E0C06" w:rsidRDefault="002E0C06" w:rsidP="002E0C0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2E0C06" w:rsidRPr="002E0C06" w:rsidRDefault="002E0C06" w:rsidP="002E0C0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Odhad stavebních nákladů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-      Prověření průběhu inženýrských sítí, přeložky inženýrských sítí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-      Vyřešení nakládání s odpady dle nového Zákona č. 541/2020 Sb. a dle nové         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Vyhlášky č. 283/2023 Sb. - Vyhláška o stanovení podmínek, při jejichž splnění jsou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znovuzískaná asfaltová směs a znovuzískaný penetrační makadam vedlejším produktem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nebo přestávají být odpadem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-     Zajištění projednání, potřebných kladných vyjádření a souhlasných stanovisek všech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  orgánů státní správy a samosprávy, organizací a správců dotčených inženýrských sítí pro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  vydání společného územního a stavebního povolení, vč. případného následného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  zapracování změn do projektové dokumentace</w:t>
      </w:r>
    </w:p>
    <w:p w:rsidR="002E0C06" w:rsidRPr="002E0C06" w:rsidRDefault="002E0C06" w:rsidP="002E0C06">
      <w:pPr>
        <w:numPr>
          <w:ilvl w:val="0"/>
          <w:numId w:val="21"/>
        </w:numPr>
        <w:spacing w:after="12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E0C06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stavebního záměru, zajištění vydání PS včetně potřebné inženýrské činnosti (např. dořešení změn PD v průběhu SŘ), získání doložky nabytí právní moci PS </w:t>
      </w:r>
    </w:p>
    <w:p w:rsidR="002E0C06" w:rsidRPr="002E0C06" w:rsidRDefault="002E0C06" w:rsidP="002E0C0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Majetkoprávní příprava, včetně zajištění příslušných smluv není součástí předmětu plnění a bude realizována zadavatelem. Zhotovitel zajistí pouze souhlasy dotčených vlastníků pozemků na situační výkres stavby v souladu s §184 a §187, odst.2, písm.c) zákona 283/2021 Sb, Stavební zákon, v platném znění, s účinností od 1. 1. 2024.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2E0C06" w:rsidRPr="002E0C06" w:rsidRDefault="002E0C06" w:rsidP="002E0C0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všech orgánů, organizací a vlastníků pozemků, dotčených touto stavbou. Před dokončením a odevzdáním každého stupně projektové dokumentace (tj. DPS a PDPS) budou svolány tzv. technicko-dokumentační komise (TDK) za účasti všech orgánů, organizací a vlastníků pozemků, dotčených touto stavbou. Zadavateli </w:t>
      </w:r>
      <w:r w:rsidRPr="002E0C06">
        <w:rPr>
          <w:rFonts w:ascii="Arial" w:hAnsi="Arial" w:cs="Arial"/>
          <w:sz w:val="20"/>
          <w:szCs w:val="20"/>
        </w:rPr>
        <w:lastRenderedPageBreak/>
        <w:t>bude zhotovitelem v dostatečném předstihu   (7 dní) zaslána projektová dokumentace jako podklad pro TDK. Výrobní výbory a TDK svolává a zápis vyhotovuje zhotovitel projektové dokumentace.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Po definitivním odsouhlasení zadavatelem bude následně projektová dokumentace ve stupni pro vydání povolení stavebního záměru (DPS) a prováděcí dokumentace (PDPS) předána zadavateli v tištěné podobě a na CD (v plném rozsahu tištěné podoby) v následujícím počtu: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DPS - 3x v tištěné podobě, vč. dokladové části ve všech paré, 1x v digitální ve formátu *.dwg a *.pdf 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Záborový elaborát – 2x v tištěné podobě, 1x v digitální ve formátu *.pdf nebo *.xls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Geodetické zaměření – 1x v digitální ve formátu *.dwg a *.pdf a vytyčovací síť vytyčovaných bodů ve formátu *.doc, *.xls nebo *.txt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Odhad stavebních nákladů – 1x v digitální ve formátu *.pdf nebo *.xls</w:t>
      </w:r>
    </w:p>
    <w:p w:rsidR="002E0C06" w:rsidRPr="002E0C06" w:rsidRDefault="002E0C06" w:rsidP="002E0C0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E0C06" w:rsidRPr="002E0C06" w:rsidRDefault="002E0C06" w:rsidP="002E0C0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E0C06">
        <w:rPr>
          <w:rFonts w:ascii="Arial" w:hAnsi="Arial" w:cs="Arial"/>
          <w:b/>
          <w:sz w:val="20"/>
          <w:szCs w:val="20"/>
        </w:rPr>
        <w:t>Vypracování dokumentace pro provádění stavby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liniových staveb a silničního správního úřadu, č. j. MD-23142/2022-930/2, ze dne 12. 7. 2022, s účinností od 1. 8. 2022, Zákonem č. 283/2021 Sb. - Stavební zákon.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zákony. </w:t>
      </w:r>
      <w:r w:rsidRPr="002E0C06">
        <w:rPr>
          <w:rFonts w:ascii="Arial" w:eastAsia="Times New Roman" w:hAnsi="Arial" w:cs="Arial"/>
          <w:sz w:val="20"/>
          <w:szCs w:val="20"/>
          <w:lang w:eastAsia="cs-CZ"/>
        </w:rPr>
        <w:t xml:space="preserve">Novou vyhláškou č. 227/2024 Sb. - o rozsahu a obsahu projektové dokumentace staveb dopravní infrastruktury. </w:t>
      </w:r>
      <w:r w:rsidRPr="002E0C06">
        <w:rPr>
          <w:rFonts w:ascii="Arial" w:hAnsi="Arial" w:cs="Arial"/>
          <w:sz w:val="20"/>
          <w:szCs w:val="20"/>
        </w:rPr>
        <w:t xml:space="preserve">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</w:t>
      </w:r>
      <w:r w:rsidR="0035050F">
        <w:rPr>
          <w:rFonts w:ascii="Arial" w:hAnsi="Arial" w:cs="Arial"/>
          <w:sz w:val="20"/>
          <w:szCs w:val="20"/>
        </w:rPr>
        <w:t>kací z 12/2023 a bude obsahovat:</w:t>
      </w:r>
    </w:p>
    <w:p w:rsidR="002E0C06" w:rsidRPr="002E0C06" w:rsidRDefault="002E0C06" w:rsidP="002E0C0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2E0C06">
        <w:rPr>
          <w:rFonts w:ascii="Arial" w:eastAsia="Times New Roman" w:hAnsi="Arial" w:cs="Arial"/>
          <w:sz w:val="20"/>
          <w:szCs w:val="20"/>
          <w:lang w:eastAsia="cs-CZ"/>
        </w:rPr>
        <w:t>Návrh rekonstrukce v souladu s DUSP.</w:t>
      </w:r>
      <w:r w:rsidRPr="002E0C06">
        <w:rPr>
          <w:rFonts w:ascii="Arial" w:hAnsi="Arial" w:cs="Arial"/>
          <w:sz w:val="20"/>
          <w:szCs w:val="20"/>
        </w:rPr>
        <w:t xml:space="preserve"> </w:t>
      </w:r>
      <w:r w:rsidRPr="002E0C06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Vytyčovací výkres stavby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Katastrální a koordinační situace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Zásady organizace výstavby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2E0C06">
        <w:rPr>
          <w:rFonts w:ascii="Arial" w:eastAsia="Times New Roman" w:hAnsi="Arial" w:cs="Arial"/>
          <w:sz w:val="20"/>
          <w:szCs w:val="20"/>
          <w:lang w:eastAsia="cs-CZ"/>
        </w:rPr>
        <w:t xml:space="preserve">-   </w:t>
      </w:r>
      <w:r w:rsidRPr="002E0C06">
        <w:rPr>
          <w:rFonts w:ascii="Arial" w:hAnsi="Arial" w:cs="Arial"/>
          <w:sz w:val="20"/>
          <w:szCs w:val="20"/>
        </w:rPr>
        <w:t xml:space="preserve">   Výkaz výměr s bilancí zemních prací</w:t>
      </w:r>
      <w:r w:rsidRPr="002E0C0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2E0C06">
        <w:rPr>
          <w:rFonts w:ascii="Arial" w:hAnsi="Arial" w:cs="Arial"/>
          <w:sz w:val="20"/>
          <w:szCs w:val="20"/>
        </w:rPr>
        <w:t xml:space="preserve">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-      Dopravně inženýrská opatření (DIO) po dobu provádění stavebních prací, návrh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objízdných tras, svislé dopravní značení pro dopravní opatření (zřízení a odstranění) bude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navrženo dle TP 66 pro provizorní dopravní značení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-      Zpracování plánu BOZP ve fázi přípravy projektu odborně způsobilou osobou s platným                                                          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osvědčením dle Zákona č. 309/2006 Sb. § 10,  § 14  a § 15 - Zákon, kterým se upravují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další požadavky bezpečnosti a ochrany zdraví při práci v pracovněprávních vztazích a o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zajištění bezpečnosti a ochrany zdraví při činnosti nebo poskytování služeb mimo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pracovněprávní vztahy (zákon o zajištění dalších podmínek bezpečnosti a ochrany zdraví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při práci). Rozsah plánu bude dle Přílohy č. 6 k Nařízení vlády č. 591/2006 Sb. - Nařízení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vlády o bližších minimálních požadavcích na bezpečnos</w:t>
      </w:r>
      <w:r w:rsidR="0035050F">
        <w:rPr>
          <w:rFonts w:ascii="Arial" w:hAnsi="Arial" w:cs="Arial"/>
          <w:sz w:val="20"/>
          <w:szCs w:val="20"/>
        </w:rPr>
        <w:t>t a ochranu zdraví při práci na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staveništích</w:t>
      </w:r>
      <w:bookmarkStart w:id="0" w:name="_GoBack"/>
      <w:bookmarkEnd w:id="0"/>
      <w:r w:rsidRPr="002E0C06">
        <w:rPr>
          <w:rFonts w:ascii="Arial" w:hAnsi="Arial" w:cs="Arial"/>
          <w:sz w:val="20"/>
          <w:szCs w:val="20"/>
        </w:rPr>
        <w:t xml:space="preserve"> Nařízení vlády č. 136/2016 Sb. - Nařízení vlády, kterým se mění nařízení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vlády č. 591/2006 Sb., o bližších minimálních požadavcích na bezpečnost a ochranu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zdraví při práci na staveništích, a nařízení vlády č. 592/2006 Sb., o podmínkách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akreditace a provádění zkoušek z odborné způsobilosti.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lastRenderedPageBreak/>
        <w:t xml:space="preserve">       Plán BOZP potvrzený koordinátorem BOZP – </w:t>
      </w:r>
      <w:r w:rsidRPr="002E0C06">
        <w:rPr>
          <w:rFonts w:ascii="Arial" w:hAnsi="Arial" w:cs="Arial"/>
          <w:b/>
          <w:bCs/>
          <w:sz w:val="20"/>
          <w:szCs w:val="20"/>
          <w:u w:val="single"/>
        </w:rPr>
        <w:t>zhotovitel PD sdělí na VVV kontaktní údaje na koordinátora BOZP pro zpracování Plánu BOZP příslušnému zástupci ve věcech technických, který zajistí administraci objednávky Plánu BOZP na příslušného koordinátora BOZP.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-      Havarijní a povodňový plán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-      Neoceněný soupis prací, oceněný soupis prací (kontrolní rozpočet pro potřeby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zadavatele), soupis prací bude zpracován v rozpočtovém programu Aspe (v oborovém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třídníku stavebních konstrukcí OTSKP) v souladu s vyhláškou č. 405/2017 Sb., kterou se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mění vyhláška č. 499/2006 Sb., o dokumentaci staveb, ve znění vyhlášky č. 62/2013 Sb.,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a s Vyhláškou č. 169/2016 Sb., o stanovení rozsahu dokumentace veřejné zakázky na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       stavební práce a soupisu stavebních prací, dodávek a služeb s výkazem výměr.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E0C06" w:rsidRPr="002E0C06" w:rsidRDefault="002E0C06" w:rsidP="002E0C0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PDPS - 3x v tištěné podobě, 1x v digitální ve formátu *.dwg a *.pdf 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Oceněný soupis prací – 1x v digitální ve formátu *.xls(x), *.pdf a *.xml (exportní soubor z Aspe v datovém předpisu XC4)</w:t>
      </w:r>
    </w:p>
    <w:p w:rsidR="002E0C06" w:rsidRPr="002E0C06" w:rsidRDefault="002E0C06" w:rsidP="002E0C0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Neoceněný soupis prací – 1x v digitální ve formátu *.xls(x), *.pdf a *.xml (exportní soubor z Aspe v datovém předpisu XC4)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Tahoma" w:hAnsi="Tahoma" w:cs="Tahoma"/>
          <w:sz w:val="20"/>
          <w:szCs w:val="20"/>
        </w:rPr>
        <w:t>⁕</w:t>
      </w:r>
      <w:r w:rsidRPr="002E0C06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7" w:history="1">
        <w:r w:rsidRPr="002E0C06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2E0C06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2E0C06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2E0C06">
        <w:rPr>
          <w:rFonts w:ascii="Arial" w:hAnsi="Arial" w:cs="Arial"/>
          <w:sz w:val="20"/>
          <w:szCs w:val="20"/>
        </w:rPr>
        <w:t xml:space="preserve">“. 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E0C06">
        <w:rPr>
          <w:rFonts w:ascii="Arial" w:hAnsi="Arial" w:cs="Arial"/>
          <w:b/>
          <w:sz w:val="20"/>
          <w:szCs w:val="20"/>
        </w:rPr>
        <w:t>Zajištění vydání potřebných společných územních a stavebních povolení</w:t>
      </w:r>
    </w:p>
    <w:p w:rsidR="002E0C06" w:rsidRPr="002E0C06" w:rsidRDefault="002E0C06" w:rsidP="002E0C06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2E0C06">
        <w:rPr>
          <w:rFonts w:ascii="Arial" w:hAnsi="Arial" w:cs="Arial"/>
          <w:bCs/>
          <w:sz w:val="20"/>
          <w:szCs w:val="20"/>
        </w:rPr>
        <w:t xml:space="preserve">Zpracování potřebných žádostí o vydání společných územních a stavebních povolení včetně všech požadovaných příloh, vyjádření a stanovisek a podání řádných žádostí k příslušným stavebním úřadům dle jednotlivých stavebních objektů a příslušnosti k úřadu, který stavební objekty povoluje. </w:t>
      </w:r>
    </w:p>
    <w:p w:rsidR="002E0C06" w:rsidRPr="002E0C06" w:rsidRDefault="002E0C06" w:rsidP="002E0C06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2E0C06">
        <w:rPr>
          <w:rFonts w:ascii="Arial" w:hAnsi="Arial" w:cs="Arial"/>
          <w:bCs/>
          <w:sz w:val="20"/>
          <w:szCs w:val="20"/>
        </w:rPr>
        <w:t>Před podáním žádostí na příslušné stavební úřady, je zhotovitel povinen odsouhlasit si tyto žádosti včetně všech příloh se zástupci zadavatele.</w:t>
      </w:r>
    </w:p>
    <w:p w:rsidR="002E0C06" w:rsidRPr="002E0C06" w:rsidRDefault="002E0C06" w:rsidP="002E0C06">
      <w:p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2E0C06">
        <w:rPr>
          <w:rFonts w:ascii="Arial" w:hAnsi="Arial" w:cs="Arial"/>
          <w:bCs/>
          <w:sz w:val="20"/>
          <w:szCs w:val="20"/>
        </w:rPr>
        <w:t xml:space="preserve">Pravomocná stavební povolení budou předány zadavateli: </w:t>
      </w:r>
    </w:p>
    <w:p w:rsidR="002E0C06" w:rsidRPr="002E0C06" w:rsidRDefault="002E0C06" w:rsidP="002E0C06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1x originál každého povolení stavebního záměru (PS) v písemné podobě s vyznačením nabytí právní moci + projektová dokumentace pro povolení stavebního záměru (DPS) ověřená stavebním úřadem</w:t>
      </w: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E0C06" w:rsidRPr="002E0C06" w:rsidRDefault="002E0C06" w:rsidP="002E0C06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E0C06">
        <w:rPr>
          <w:rFonts w:ascii="Arial" w:hAnsi="Arial" w:cs="Arial"/>
          <w:b/>
          <w:sz w:val="20"/>
          <w:szCs w:val="20"/>
        </w:rPr>
        <w:t>Výkon autorského dozoru</w:t>
      </w:r>
    </w:p>
    <w:p w:rsidR="002E0C06" w:rsidRPr="002E0C06" w:rsidRDefault="002E0C06" w:rsidP="002E0C06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2E0C06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2E0C06" w:rsidRPr="002E0C06" w:rsidRDefault="002E0C06" w:rsidP="002E0C06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2E0C06">
        <w:rPr>
          <w:rFonts w:ascii="Arial" w:hAnsi="Arial" w:cs="Arial"/>
          <w:sz w:val="20"/>
        </w:rPr>
        <w:lastRenderedPageBreak/>
        <w:t>Zhotovitel je povinen při plnění AD poskytnout svoji součinnost vždy bezodkladně poté, kdy bude k tomu zadavatelem vyzván nebo poté, kdy takovou potřebu sám zjistí.</w:t>
      </w:r>
    </w:p>
    <w:p w:rsidR="002E0C06" w:rsidRPr="002E0C06" w:rsidRDefault="002E0C06" w:rsidP="002E0C06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2E0C06">
        <w:rPr>
          <w:rFonts w:ascii="Arial" w:hAnsi="Arial" w:cs="Arial"/>
          <w:sz w:val="20"/>
        </w:rPr>
        <w:t>Předmětem výkonu AD je především: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účastnit se předání staveniště zhotoviteli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dohled nad realizací díla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v případě nutnosti zpracování změny záměru před dokončením dle § 224 stavebního zákona v platném znění, která je součástí výkonu AD jako autora díla, neprodleně po tomto zjištění zahájit projekční práce včetně zajištění všech příslušných vyjádření a dokladů nezbytných k podání žádosti dle § 184 Stavebního zákona v platném znění  a dále podání žádosti včetně všech příloh na příslušný stavební úřad. Před podáním žádostí na příslušný stavební úřad je zhotovitel povinen odsouhlasit si tyto žádosti včetně všech příloh se zástupci objednatele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2E0C06" w:rsidRPr="002E0C06" w:rsidRDefault="002E0C06" w:rsidP="002E0C0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2E0C06" w:rsidRPr="002E0C06" w:rsidRDefault="002E0C06" w:rsidP="002E0C06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2E0C06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2E0C06" w:rsidRPr="002E0C06" w:rsidRDefault="002E0C06" w:rsidP="002E0C06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2E0C06">
        <w:rPr>
          <w:rFonts w:ascii="Arial" w:hAnsi="Arial" w:cs="Arial"/>
          <w:sz w:val="20"/>
        </w:rPr>
        <w:t xml:space="preserve">AD bude vykonáván na vyžádání ze strany zadavatele. Předmět, termín a místo výkonu AD budou dohodnuty vždy individuálně při každé výzvě zadavatele. </w:t>
      </w:r>
    </w:p>
    <w:p w:rsidR="002E0C06" w:rsidRPr="002E0C06" w:rsidRDefault="002E0C06" w:rsidP="002E0C06">
      <w:pPr>
        <w:rPr>
          <w:rFonts w:ascii="Arial" w:hAnsi="Arial" w:cs="Arial"/>
          <w:b/>
          <w:sz w:val="20"/>
          <w:szCs w:val="20"/>
          <w:u w:val="single"/>
        </w:rPr>
      </w:pPr>
      <w:r w:rsidRPr="002E0C06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2E0C06" w:rsidRPr="002E0C06" w:rsidRDefault="002E0C06" w:rsidP="002E0C06">
      <w:pPr>
        <w:rPr>
          <w:rFonts w:ascii="Arial" w:hAnsi="Arial" w:cs="Arial"/>
          <w:b/>
          <w:sz w:val="20"/>
          <w:szCs w:val="20"/>
          <w:u w:val="single"/>
        </w:rPr>
      </w:pPr>
      <w:r w:rsidRPr="002E0C06">
        <w:rPr>
          <w:rFonts w:ascii="Arial" w:hAnsi="Arial" w:cs="Arial"/>
          <w:sz w:val="20"/>
          <w:szCs w:val="20"/>
        </w:rPr>
        <w:t>Místo stavby – Kraj Vysočina, okres Třebíč,  obec Jinošov a Náměšť nad Oslavou</w:t>
      </w:r>
    </w:p>
    <w:p w:rsidR="002E0C06" w:rsidRPr="002E0C06" w:rsidRDefault="002E0C06" w:rsidP="002E0C06">
      <w:pPr>
        <w:rPr>
          <w:rFonts w:ascii="Arial" w:hAnsi="Arial" w:cs="Arial"/>
          <w:b/>
          <w:sz w:val="20"/>
          <w:szCs w:val="20"/>
          <w:u w:val="single"/>
        </w:rPr>
      </w:pPr>
      <w:r w:rsidRPr="002E0C06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2E0C06" w:rsidRPr="002E0C06" w:rsidRDefault="002E0C06" w:rsidP="002E0C06">
      <w:pPr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provozu.</w:t>
      </w:r>
    </w:p>
    <w:p w:rsidR="002E0C06" w:rsidRPr="002E0C06" w:rsidRDefault="002E0C06" w:rsidP="002E0C06">
      <w:pPr>
        <w:rPr>
          <w:rFonts w:ascii="Arial" w:hAnsi="Arial" w:cs="Arial"/>
          <w:b/>
          <w:sz w:val="20"/>
          <w:szCs w:val="20"/>
          <w:u w:val="single"/>
        </w:rPr>
      </w:pPr>
      <w:r w:rsidRPr="002E0C06">
        <w:rPr>
          <w:rFonts w:ascii="Arial" w:hAnsi="Arial" w:cs="Arial"/>
          <w:b/>
          <w:sz w:val="20"/>
          <w:szCs w:val="20"/>
          <w:u w:val="single"/>
        </w:rPr>
        <w:t>Seznam poskytnutých podkladů</w:t>
      </w:r>
    </w:p>
    <w:p w:rsidR="002E0C06" w:rsidRPr="002E0C06" w:rsidRDefault="002E0C06" w:rsidP="002E0C06">
      <w:pPr>
        <w:pStyle w:val="3"/>
        <w:numPr>
          <w:ilvl w:val="0"/>
          <w:numId w:val="23"/>
        </w:numPr>
        <w:spacing w:before="12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2E0C06">
        <w:rPr>
          <w:rFonts w:ascii="Arial" w:hAnsi="Arial" w:cs="Arial"/>
          <w:sz w:val="20"/>
          <w:szCs w:val="20"/>
        </w:rPr>
        <w:t>Přehledná situace – celková, úseku 6,500-8,369 a úseku 9,500-10,529</w:t>
      </w:r>
    </w:p>
    <w:p w:rsidR="002E0C06" w:rsidRPr="002E0C06" w:rsidRDefault="002E0C06" w:rsidP="002E0C06">
      <w:pPr>
        <w:pStyle w:val="3"/>
        <w:numPr>
          <w:ilvl w:val="0"/>
          <w:numId w:val="23"/>
        </w:numPr>
        <w:spacing w:before="120"/>
        <w:ind w:left="357" w:hanging="357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Průzkum PAU vozovky II/399 ve staničení km 6,700</w:t>
      </w:r>
    </w:p>
    <w:p w:rsidR="002E0C06" w:rsidRPr="002E0C06" w:rsidRDefault="002E0C06" w:rsidP="002E0C06">
      <w:pPr>
        <w:pStyle w:val="3"/>
        <w:numPr>
          <w:ilvl w:val="0"/>
          <w:numId w:val="23"/>
        </w:numPr>
        <w:spacing w:before="120"/>
        <w:ind w:left="357" w:hanging="357"/>
        <w:rPr>
          <w:rFonts w:ascii="Arial" w:hAnsi="Arial" w:cs="Arial"/>
          <w:sz w:val="20"/>
          <w:szCs w:val="20"/>
        </w:rPr>
      </w:pPr>
      <w:r w:rsidRPr="002E0C06">
        <w:rPr>
          <w:rFonts w:ascii="Arial" w:hAnsi="Arial" w:cs="Arial"/>
          <w:sz w:val="20"/>
          <w:szCs w:val="20"/>
        </w:rPr>
        <w:t>Diagnostika vozovky II/399</w:t>
      </w:r>
    </w:p>
    <w:p w:rsidR="002E0C06" w:rsidRPr="002E0C06" w:rsidRDefault="002E0C06" w:rsidP="002E0C06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:rsidR="002E0C06" w:rsidRPr="007B3A0A" w:rsidRDefault="002E0C06" w:rsidP="002E0C06">
      <w:pPr>
        <w:rPr>
          <w:rFonts w:ascii="Times New Roman" w:hAnsi="Times New Roman"/>
          <w:b/>
          <w:sz w:val="24"/>
          <w:u w:val="single"/>
        </w:rPr>
      </w:pPr>
      <w:r w:rsidRPr="007B3A0A">
        <w:rPr>
          <w:rFonts w:ascii="Times New Roman" w:hAnsi="Times New Roman"/>
          <w:b/>
          <w:sz w:val="24"/>
          <w:u w:val="single"/>
        </w:rPr>
        <w:t>Lhůty plnění</w:t>
      </w:r>
    </w:p>
    <w:p w:rsidR="002E0C06" w:rsidRPr="007B3A0A" w:rsidRDefault="002E0C06" w:rsidP="002E0C06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>Zahájení realizace:</w:t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Pr="009606CB">
        <w:rPr>
          <w:rFonts w:ascii="Times New Roman" w:eastAsia="Times New Roman" w:hAnsi="Times New Roman"/>
          <w:sz w:val="24"/>
          <w:szCs w:val="24"/>
          <w:lang w:eastAsia="cs-CZ"/>
        </w:rPr>
        <w:t xml:space="preserve">ihned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po</w:t>
      </w:r>
      <w:r w:rsidRPr="009606C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nabytí účinnosti smlouvy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IGP průzkum a návrh technického řešení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do 90 dnů od nabytí účinnosti smlouvy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0"/>
          <w:lang w:eastAsia="cs-CZ"/>
        </w:rPr>
      </w:pP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 xml:space="preserve">Dokumentace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DPS (koncept)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</w:t>
      </w:r>
      <w:r w:rsidRPr="009606CB">
        <w:rPr>
          <w:rFonts w:ascii="Times New Roman" w:eastAsia="Times New Roman" w:hAnsi="Times New Roman"/>
          <w:sz w:val="24"/>
          <w:szCs w:val="20"/>
          <w:lang w:eastAsia="cs-CZ"/>
        </w:rPr>
        <w:t xml:space="preserve">do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120 dnů od nabytí účinnosti smlouvy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0"/>
          <w:lang w:eastAsia="cs-CZ"/>
        </w:rPr>
        <w:t>Dokumentace DPS (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čistopis, včetně IČ a </w:t>
      </w:r>
    </w:p>
    <w:p w:rsidR="002E0C06" w:rsidRPr="009606CB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projednání s DOSS, odsouhlasený objednatelem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)</w:t>
      </w:r>
      <w:r>
        <w:rPr>
          <w:rFonts w:ascii="Times New Roman" w:eastAsia="Times New Roman" w:hAnsi="Times New Roman"/>
          <w:sz w:val="24"/>
          <w:szCs w:val="20"/>
          <w:lang w:eastAsia="cs-CZ"/>
        </w:rPr>
        <w:tab/>
        <w:t xml:space="preserve">   do 60 dnů od předání konceptu DPS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 xml:space="preserve">Podání žádosti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pr</w:t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 xml:space="preserve">o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povolení stavebního záměru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Pr="009606CB">
        <w:rPr>
          <w:rFonts w:ascii="Times New Roman" w:eastAsia="Times New Roman" w:hAnsi="Times New Roman"/>
          <w:sz w:val="24"/>
          <w:szCs w:val="24"/>
          <w:lang w:eastAsia="cs-CZ"/>
        </w:rPr>
        <w:t xml:space="preserve">do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30 dnů</w:t>
      </w:r>
      <w:r w:rsidRPr="009606CB">
        <w:rPr>
          <w:rFonts w:ascii="Times New Roman" w:eastAsia="Times New Roman" w:hAnsi="Times New Roman"/>
          <w:sz w:val="24"/>
          <w:szCs w:val="24"/>
          <w:lang w:eastAsia="cs-CZ"/>
        </w:rPr>
        <w:t xml:space="preserve"> od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dokončení IČ, nebo do 30     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                                                                     dnů od předání DPS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Dokumentace PDPS (čistopis, včetně 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zapracování případných připomínek 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ze stavebního řízení a včetně soupisů prací,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odsouhlasený objednatelem)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do 60 dnů od vydání pravomocného </w:t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                                                                     SP stavebním úřadem</w:t>
      </w:r>
    </w:p>
    <w:p w:rsidR="002E0C06" w:rsidRPr="007B3A0A" w:rsidRDefault="002E0C06" w:rsidP="002E0C06">
      <w:pPr>
        <w:overflowPunct w:val="0"/>
        <w:autoSpaceDE w:val="0"/>
        <w:autoSpaceDN w:val="0"/>
        <w:adjustRightInd w:val="0"/>
        <w:spacing w:before="240" w:after="120" w:line="240" w:lineRule="auto"/>
        <w:ind w:left="4950" w:hanging="4950"/>
        <w:textAlignment w:val="baseline"/>
        <w:rPr>
          <w:rFonts w:ascii="Times New Roman" w:eastAsia="Times New Roman" w:hAnsi="Times New Roman"/>
          <w:sz w:val="24"/>
          <w:szCs w:val="20"/>
          <w:lang w:eastAsia="cs-CZ"/>
        </w:rPr>
      </w:pP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>Předpoklad zahájení výkonu autorského dozoru</w:t>
      </w:r>
      <w:r w:rsidRPr="007B3A0A">
        <w:rPr>
          <w:rFonts w:ascii="Times New Roman" w:eastAsia="Times New Roman" w:hAnsi="Times New Roman"/>
          <w:sz w:val="24"/>
          <w:szCs w:val="20"/>
          <w:lang w:eastAsia="cs-CZ"/>
        </w:rPr>
        <w:tab/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 </w:t>
      </w:r>
      <w:r w:rsidRPr="009606CB">
        <w:rPr>
          <w:rFonts w:ascii="Times New Roman" w:eastAsia="Times New Roman" w:hAnsi="Times New Roman"/>
          <w:sz w:val="24"/>
          <w:szCs w:val="20"/>
          <w:lang w:eastAsia="cs-CZ"/>
        </w:rPr>
        <w:t>do 6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0 měsíců od vydání pravomocného                                                                 </w:t>
      </w:r>
      <w:r w:rsidRPr="009606CB">
        <w:rPr>
          <w:rFonts w:ascii="Times New Roman" w:eastAsia="Times New Roman" w:hAnsi="Times New Roman"/>
          <w:sz w:val="24"/>
          <w:szCs w:val="20"/>
          <w:lang w:eastAsia="cs-CZ"/>
        </w:rPr>
        <w:t>povolení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stavby</w:t>
      </w:r>
      <w:r w:rsidRPr="009606CB">
        <w:rPr>
          <w:rFonts w:ascii="Times New Roman" w:eastAsia="Times New Roman" w:hAnsi="Times New Roman"/>
          <w:sz w:val="24"/>
          <w:szCs w:val="20"/>
          <w:lang w:eastAsia="cs-CZ"/>
        </w:rPr>
        <w:tab/>
      </w:r>
    </w:p>
    <w:p w:rsidR="002E0C06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0"/>
          <w:highlight w:val="yellow"/>
          <w:lang w:eastAsia="cs-CZ"/>
        </w:rPr>
      </w:pPr>
    </w:p>
    <w:p w:rsidR="002E0C06" w:rsidRPr="007937CA" w:rsidRDefault="002E0C06" w:rsidP="002E0C0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7937CA">
        <w:rPr>
          <w:rFonts w:ascii="Times New Roman" w:eastAsia="Times New Roman" w:hAnsi="Times New Roman"/>
          <w:sz w:val="24"/>
          <w:szCs w:val="20"/>
          <w:lang w:eastAsia="cs-CZ"/>
        </w:rPr>
        <w:t xml:space="preserve">Změna záměru </w:t>
      </w:r>
      <w:r w:rsidRPr="007937CA">
        <w:rPr>
          <w:rFonts w:ascii="Times New Roman" w:eastAsia="Times New Roman" w:hAnsi="Times New Roman"/>
          <w:sz w:val="24"/>
          <w:szCs w:val="24"/>
          <w:lang w:eastAsia="cs-CZ"/>
        </w:rPr>
        <w:t xml:space="preserve">(čistopis, včetně soupisů </w:t>
      </w:r>
      <w:r w:rsidRPr="007937C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937CA">
        <w:rPr>
          <w:rFonts w:ascii="Times New Roman" w:eastAsia="Times New Roman" w:hAnsi="Times New Roman"/>
          <w:sz w:val="24"/>
          <w:szCs w:val="20"/>
          <w:lang w:eastAsia="cs-CZ"/>
        </w:rPr>
        <w:t>do 15 dnů od zjištění, následně</w:t>
      </w:r>
    </w:p>
    <w:p w:rsidR="002E0C06" w:rsidRPr="00805DF8" w:rsidRDefault="002E0C06" w:rsidP="002E0C06">
      <w:pPr>
        <w:overflowPunct w:val="0"/>
        <w:autoSpaceDE w:val="0"/>
        <w:autoSpaceDN w:val="0"/>
        <w:adjustRightInd w:val="0"/>
        <w:spacing w:after="0" w:line="240" w:lineRule="auto"/>
        <w:ind w:left="4950" w:hanging="4950"/>
        <w:textAlignment w:val="baseline"/>
        <w:rPr>
          <w:rFonts w:ascii="Times New Roman" w:eastAsia="Times New Roman" w:hAnsi="Times New Roman"/>
          <w:sz w:val="24"/>
          <w:szCs w:val="20"/>
          <w:lang w:eastAsia="cs-CZ"/>
        </w:rPr>
      </w:pPr>
      <w:r w:rsidRPr="007937CA">
        <w:rPr>
          <w:rFonts w:ascii="Times New Roman" w:eastAsia="Times New Roman" w:hAnsi="Times New Roman"/>
          <w:sz w:val="24"/>
          <w:szCs w:val="24"/>
          <w:lang w:eastAsia="cs-CZ"/>
        </w:rPr>
        <w:t>prací, odsouhlasený objednatelem a TDS)</w:t>
      </w:r>
      <w:r w:rsidRPr="007937CA">
        <w:rPr>
          <w:rFonts w:ascii="Times New Roman" w:eastAsia="Times New Roman" w:hAnsi="Times New Roman"/>
          <w:sz w:val="24"/>
          <w:szCs w:val="20"/>
          <w:lang w:eastAsia="cs-CZ"/>
        </w:rPr>
        <w:tab/>
      </w:r>
      <w:r w:rsidRPr="007937CA">
        <w:rPr>
          <w:rFonts w:ascii="Times New Roman" w:eastAsia="Times New Roman" w:hAnsi="Times New Roman"/>
          <w:sz w:val="24"/>
          <w:szCs w:val="20"/>
          <w:lang w:eastAsia="cs-CZ"/>
        </w:rPr>
        <w:tab/>
        <w:t>neprodleně zajistit ostatní požadované přílohy</w:t>
      </w:r>
    </w:p>
    <w:p w:rsidR="00F16ACF" w:rsidRPr="00BC0045" w:rsidRDefault="00F16ACF" w:rsidP="002E0C06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F16ACF" w:rsidRPr="00BC0045" w:rsidSect="0034703B">
      <w:headerReference w:type="default" r:id="rId8"/>
      <w:footerReference w:type="default" r:id="rId9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8C6F52">
      <w:rPr>
        <w:rFonts w:ascii="Arial" w:hAnsi="Arial" w:cs="Arial"/>
        <w:b/>
        <w:noProof/>
        <w:sz w:val="16"/>
        <w:szCs w:val="16"/>
      </w:rPr>
      <w:t>3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8C6F52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D99DA6" wp14:editId="6981C4CA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3"/>
  </w:num>
  <w:num w:numId="15">
    <w:abstractNumId w:val="19"/>
  </w:num>
  <w:num w:numId="16">
    <w:abstractNumId w:val="2"/>
  </w:num>
  <w:num w:numId="17">
    <w:abstractNumId w:val="8"/>
  </w:num>
  <w:num w:numId="18">
    <w:abstractNumId w:val="24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  <w:num w:numId="27">
    <w:abstractNumId w:val="2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85A7A"/>
    <w:rsid w:val="00087015"/>
    <w:rsid w:val="00091A0B"/>
    <w:rsid w:val="000A7C29"/>
    <w:rsid w:val="000F7568"/>
    <w:rsid w:val="00105330"/>
    <w:rsid w:val="001310C6"/>
    <w:rsid w:val="00133ED6"/>
    <w:rsid w:val="00143858"/>
    <w:rsid w:val="00150F88"/>
    <w:rsid w:val="0016103B"/>
    <w:rsid w:val="00167A1E"/>
    <w:rsid w:val="00172C17"/>
    <w:rsid w:val="00174D7F"/>
    <w:rsid w:val="0018382D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64E92"/>
    <w:rsid w:val="002715B4"/>
    <w:rsid w:val="002819DD"/>
    <w:rsid w:val="00294439"/>
    <w:rsid w:val="002A2808"/>
    <w:rsid w:val="002A70F8"/>
    <w:rsid w:val="002B7C5F"/>
    <w:rsid w:val="002C6714"/>
    <w:rsid w:val="002D116F"/>
    <w:rsid w:val="002D2AC8"/>
    <w:rsid w:val="002D3495"/>
    <w:rsid w:val="002E0C06"/>
    <w:rsid w:val="00322187"/>
    <w:rsid w:val="00335791"/>
    <w:rsid w:val="0034703B"/>
    <w:rsid w:val="0035050F"/>
    <w:rsid w:val="00355D64"/>
    <w:rsid w:val="003634A2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3A5B"/>
    <w:rsid w:val="004B4D66"/>
    <w:rsid w:val="004C2E7C"/>
    <w:rsid w:val="004C3D34"/>
    <w:rsid w:val="004D1301"/>
    <w:rsid w:val="004E26C7"/>
    <w:rsid w:val="004F4618"/>
    <w:rsid w:val="005252AA"/>
    <w:rsid w:val="0052571B"/>
    <w:rsid w:val="005562DB"/>
    <w:rsid w:val="005655EF"/>
    <w:rsid w:val="00575531"/>
    <w:rsid w:val="00580C51"/>
    <w:rsid w:val="005875BA"/>
    <w:rsid w:val="005A2999"/>
    <w:rsid w:val="005E469A"/>
    <w:rsid w:val="005E5229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679C4"/>
    <w:rsid w:val="00683DAC"/>
    <w:rsid w:val="006916B1"/>
    <w:rsid w:val="006A0285"/>
    <w:rsid w:val="006A3AD9"/>
    <w:rsid w:val="00723546"/>
    <w:rsid w:val="007349F9"/>
    <w:rsid w:val="00745A6C"/>
    <w:rsid w:val="007462B8"/>
    <w:rsid w:val="007524A0"/>
    <w:rsid w:val="00756EC0"/>
    <w:rsid w:val="0076591D"/>
    <w:rsid w:val="00771D72"/>
    <w:rsid w:val="00781C90"/>
    <w:rsid w:val="00792788"/>
    <w:rsid w:val="00794F75"/>
    <w:rsid w:val="007D1374"/>
    <w:rsid w:val="007E6FEB"/>
    <w:rsid w:val="007F411D"/>
    <w:rsid w:val="007F463F"/>
    <w:rsid w:val="008023D2"/>
    <w:rsid w:val="00817C5F"/>
    <w:rsid w:val="008209FA"/>
    <w:rsid w:val="00844B90"/>
    <w:rsid w:val="0085017D"/>
    <w:rsid w:val="008661DA"/>
    <w:rsid w:val="008742AE"/>
    <w:rsid w:val="0088350B"/>
    <w:rsid w:val="00884EBA"/>
    <w:rsid w:val="008B37FB"/>
    <w:rsid w:val="008B5E8C"/>
    <w:rsid w:val="008C6F52"/>
    <w:rsid w:val="008D4372"/>
    <w:rsid w:val="008E5B75"/>
    <w:rsid w:val="008F1380"/>
    <w:rsid w:val="008F2428"/>
    <w:rsid w:val="008F6E44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56428"/>
    <w:rsid w:val="00A63D56"/>
    <w:rsid w:val="00A93CA0"/>
    <w:rsid w:val="00AA21EC"/>
    <w:rsid w:val="00AA3034"/>
    <w:rsid w:val="00AA42F6"/>
    <w:rsid w:val="00AA76D7"/>
    <w:rsid w:val="00AB286A"/>
    <w:rsid w:val="00AC3FE3"/>
    <w:rsid w:val="00AC4AB1"/>
    <w:rsid w:val="00AF5D3F"/>
    <w:rsid w:val="00B0273E"/>
    <w:rsid w:val="00B13108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A0515"/>
    <w:rsid w:val="00BC0045"/>
    <w:rsid w:val="00BD08E8"/>
    <w:rsid w:val="00BE3B79"/>
    <w:rsid w:val="00BF4D4C"/>
    <w:rsid w:val="00C040A0"/>
    <w:rsid w:val="00C0508D"/>
    <w:rsid w:val="00C25DCD"/>
    <w:rsid w:val="00C34F5B"/>
    <w:rsid w:val="00C52667"/>
    <w:rsid w:val="00C65520"/>
    <w:rsid w:val="00CB1CE3"/>
    <w:rsid w:val="00CD6C0B"/>
    <w:rsid w:val="00CF3EA0"/>
    <w:rsid w:val="00D1051F"/>
    <w:rsid w:val="00D21DBE"/>
    <w:rsid w:val="00D24A4F"/>
    <w:rsid w:val="00D27F79"/>
    <w:rsid w:val="00D674D6"/>
    <w:rsid w:val="00D83014"/>
    <w:rsid w:val="00D9018D"/>
    <w:rsid w:val="00DA5742"/>
    <w:rsid w:val="00DE107F"/>
    <w:rsid w:val="00DF3229"/>
    <w:rsid w:val="00E02F34"/>
    <w:rsid w:val="00E0748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06AAB"/>
    <w:rsid w:val="00F11900"/>
    <w:rsid w:val="00F15CA5"/>
    <w:rsid w:val="00F16ACF"/>
    <w:rsid w:val="00F230F4"/>
    <w:rsid w:val="00F27557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3A5B79D7-6C36-4A55-BC0F-7F6545C1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BC00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c4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2644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36</cp:revision>
  <cp:lastPrinted>2024-04-18T12:32:00Z</cp:lastPrinted>
  <dcterms:created xsi:type="dcterms:W3CDTF">2024-07-19T07:39:00Z</dcterms:created>
  <dcterms:modified xsi:type="dcterms:W3CDTF">2025-02-24T07:41:00Z</dcterms:modified>
</cp:coreProperties>
</file>