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D27EDC" w:rsidRPr="00267114" w:rsidRDefault="00AD6318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8"/>
          <w:szCs w:val="28"/>
        </w:rPr>
      </w:pPr>
      <w:r w:rsidRPr="009F6C2E">
        <w:rPr>
          <w:rFonts w:ascii="Arial" w:hAnsi="Arial" w:cs="Arial"/>
          <w:sz w:val="24"/>
          <w:szCs w:val="24"/>
        </w:rPr>
        <w:t>Protihluková opatření 2024 - Realizace IPO – Velké Meziříčí</w:t>
      </w: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A416B7" w:rsidRPr="00267114" w:rsidRDefault="00A416B7" w:rsidP="00A416B7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A416B7" w:rsidRPr="00267114" w:rsidRDefault="00A416B7" w:rsidP="00A416B7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A416B7" w:rsidRPr="00267114" w:rsidRDefault="00A416B7" w:rsidP="00A416B7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A416B7" w:rsidRPr="007F6BB9" w:rsidRDefault="00A416B7" w:rsidP="007F6BB9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 xml:space="preserve">živnostenského oprávnění </w:t>
      </w:r>
      <w:proofErr w:type="gramStart"/>
      <w:r w:rsidRPr="00267114">
        <w:rPr>
          <w:rFonts w:ascii="Arial" w:hAnsi="Arial" w:cs="Arial"/>
          <w:bCs/>
        </w:rPr>
        <w:t>pro</w:t>
      </w:r>
      <w:r w:rsidRPr="00267114">
        <w:rPr>
          <w:rFonts w:ascii="Arial" w:hAnsi="Arial" w:cs="Arial"/>
          <w:b w:val="0"/>
          <w:bCs/>
        </w:rPr>
        <w:t xml:space="preserve"> </w:t>
      </w:r>
      <w:r>
        <w:rPr>
          <w:rFonts w:ascii="Arial" w:hAnsi="Arial" w:cs="Arial"/>
          <w:bCs/>
        </w:rPr>
        <w:t>:</w:t>
      </w:r>
      <w:proofErr w:type="gramEnd"/>
    </w:p>
    <w:p w:rsidR="00A416B7" w:rsidRPr="009F6C2E" w:rsidRDefault="00A416B7" w:rsidP="00A416B7">
      <w:pPr>
        <w:pStyle w:val="Odstavecseseznamem"/>
        <w:numPr>
          <w:ilvl w:val="0"/>
          <w:numId w:val="18"/>
        </w:numPr>
        <w:suppressAutoHyphens w:val="0"/>
        <w:autoSpaceDN w:val="0"/>
        <w:adjustRightInd w:val="0"/>
        <w:spacing w:before="240" w:after="240"/>
        <w:ind w:left="1985" w:hanging="567"/>
        <w:contextualSpacing w:val="0"/>
        <w:jc w:val="both"/>
        <w:rPr>
          <w:rFonts w:ascii="Arial" w:hAnsi="Arial" w:cs="Arial"/>
          <w:b w:val="0"/>
          <w:bCs/>
        </w:rPr>
      </w:pPr>
      <w:r w:rsidRPr="009F6C2E">
        <w:rPr>
          <w:rFonts w:ascii="Arial" w:eastAsiaTheme="minorHAnsi" w:hAnsi="Arial" w:cs="Arial"/>
          <w:bCs/>
          <w:lang w:eastAsia="en-US"/>
        </w:rPr>
        <w:t xml:space="preserve">Velkoobchod a maloobchod </w:t>
      </w:r>
    </w:p>
    <w:p w:rsidR="00A416B7" w:rsidRPr="009F6C2E" w:rsidRDefault="00A416B7" w:rsidP="00A416B7">
      <w:pPr>
        <w:pStyle w:val="Odstavecseseznamem"/>
        <w:numPr>
          <w:ilvl w:val="0"/>
          <w:numId w:val="18"/>
        </w:numPr>
        <w:suppressAutoHyphens w:val="0"/>
        <w:autoSpaceDN w:val="0"/>
        <w:adjustRightInd w:val="0"/>
        <w:spacing w:before="240" w:after="240"/>
        <w:ind w:left="1985" w:hanging="567"/>
        <w:contextualSpacing w:val="0"/>
        <w:jc w:val="both"/>
        <w:rPr>
          <w:rFonts w:ascii="Arial" w:hAnsi="Arial" w:cs="Arial"/>
          <w:bCs/>
        </w:rPr>
      </w:pPr>
      <w:r w:rsidRPr="009F6C2E">
        <w:rPr>
          <w:rFonts w:ascii="Arial" w:eastAsiaTheme="minorHAnsi" w:hAnsi="Arial" w:cs="Arial"/>
          <w:bCs/>
          <w:lang w:eastAsia="en-US"/>
        </w:rPr>
        <w:t>Výroba, obchod a služby neuvedené v přílohách 1 až 3 živnostenského zákona</w:t>
      </w:r>
    </w:p>
    <w:p w:rsidR="00A416B7" w:rsidRPr="009F6C2E" w:rsidRDefault="00A416B7" w:rsidP="00A416B7">
      <w:pPr>
        <w:pStyle w:val="Odstavecseseznamem"/>
        <w:spacing w:before="240" w:after="240"/>
        <w:ind w:left="1985"/>
        <w:contextualSpacing w:val="0"/>
        <w:jc w:val="both"/>
        <w:rPr>
          <w:rFonts w:ascii="Arial" w:eastAsiaTheme="minorHAnsi" w:hAnsi="Arial" w:cs="Arial"/>
          <w:bCs/>
          <w:lang w:eastAsia="en-US"/>
        </w:rPr>
      </w:pPr>
      <w:r w:rsidRPr="009F6C2E">
        <w:rPr>
          <w:rFonts w:ascii="Arial" w:eastAsiaTheme="minorHAnsi" w:hAnsi="Arial" w:cs="Arial"/>
          <w:bCs/>
          <w:lang w:eastAsia="en-US"/>
        </w:rPr>
        <w:t xml:space="preserve">Obor činnosti </w:t>
      </w:r>
      <w:r w:rsidRPr="009F6C2E">
        <w:rPr>
          <w:rFonts w:ascii="Arial" w:eastAsiaTheme="minorHAnsi" w:hAnsi="Arial" w:cs="Arial"/>
          <w:b w:val="0"/>
          <w:bCs/>
          <w:lang w:eastAsia="en-US"/>
        </w:rPr>
        <w:t>(alespoň 1 z činností):</w:t>
      </w:r>
    </w:p>
    <w:p w:rsidR="00A416B7" w:rsidRDefault="00A416B7" w:rsidP="00DF12FE">
      <w:pPr>
        <w:pStyle w:val="Odstavecseseznamem"/>
        <w:numPr>
          <w:ilvl w:val="0"/>
          <w:numId w:val="19"/>
        </w:numPr>
        <w:suppressAutoHyphens w:val="0"/>
        <w:overflowPunct/>
        <w:autoSpaceDN w:val="0"/>
        <w:adjustRightInd w:val="0"/>
        <w:spacing w:before="240" w:after="240"/>
        <w:ind w:hanging="518"/>
        <w:contextualSpacing w:val="0"/>
        <w:textAlignment w:val="auto"/>
        <w:rPr>
          <w:rFonts w:ascii="Arial" w:eastAsiaTheme="minorHAnsi" w:hAnsi="Arial" w:cs="Arial"/>
          <w:bCs/>
          <w:lang w:eastAsia="en-US"/>
        </w:rPr>
      </w:pPr>
      <w:r w:rsidRPr="009F6C2E">
        <w:rPr>
          <w:rFonts w:ascii="Arial" w:eastAsiaTheme="minorHAnsi" w:hAnsi="Arial" w:cs="Arial"/>
          <w:bCs/>
          <w:lang w:eastAsia="en-US"/>
        </w:rPr>
        <w:t xml:space="preserve">Výroba plastových a pryžových výrobků </w:t>
      </w:r>
    </w:p>
    <w:p w:rsidR="00A416B7" w:rsidRPr="00DF12FE" w:rsidRDefault="00A416B7" w:rsidP="00DF12FE">
      <w:pPr>
        <w:pStyle w:val="Odstavecseseznamem"/>
        <w:numPr>
          <w:ilvl w:val="0"/>
          <w:numId w:val="19"/>
        </w:numPr>
        <w:suppressAutoHyphens w:val="0"/>
        <w:overflowPunct/>
        <w:autoSpaceDN w:val="0"/>
        <w:adjustRightInd w:val="0"/>
        <w:spacing w:before="240" w:after="240"/>
        <w:ind w:hanging="518"/>
        <w:contextualSpacing w:val="0"/>
        <w:textAlignment w:val="auto"/>
        <w:rPr>
          <w:rFonts w:ascii="Arial" w:eastAsiaTheme="minorHAnsi" w:hAnsi="Arial" w:cs="Arial"/>
          <w:bCs/>
          <w:lang w:eastAsia="en-US"/>
        </w:rPr>
      </w:pPr>
      <w:r w:rsidRPr="00DF12FE">
        <w:rPr>
          <w:rFonts w:ascii="Arial" w:eastAsiaTheme="minorHAnsi" w:hAnsi="Arial" w:cs="Arial"/>
          <w:bCs/>
          <w:lang w:eastAsia="en-US"/>
        </w:rPr>
        <w:t>Výroba kovových konstrukcí a kovodělných</w:t>
      </w:r>
      <w:r>
        <w:rPr>
          <w:rFonts w:ascii="Arial" w:eastAsiaTheme="minorHAnsi" w:hAnsi="Arial" w:cs="Arial"/>
          <w:bCs/>
          <w:lang w:eastAsia="en-US"/>
        </w:rPr>
        <w:t xml:space="preserve"> výrobků</w:t>
      </w:r>
    </w:p>
    <w:p w:rsidR="00A416B7" w:rsidRPr="00620AB9" w:rsidRDefault="00A416B7" w:rsidP="00620AB9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A416B7">
        <w:rPr>
          <w:rFonts w:ascii="Arial" w:hAnsi="Arial" w:cs="Arial"/>
          <w:sz w:val="20"/>
        </w:rPr>
        <w:t xml:space="preserve">Účastník zadávacího řízení může v souladu s ustanovením § 53 odst. 4 zákona nahradit v nabídce předložení dokladů ke splnění kvalifikace čestným prohlášením. K prokázání splnění kvalifikace v nabídce může účastník zadávacího řízení v souladu s ustanovením § 53 odst. 4 zákona využít přiloženou </w:t>
      </w:r>
      <w:r w:rsidRPr="00A416B7">
        <w:rPr>
          <w:rFonts w:ascii="Arial" w:hAnsi="Arial" w:cs="Arial"/>
          <w:b/>
          <w:sz w:val="20"/>
        </w:rPr>
        <w:t>přílohu F2-1</w:t>
      </w:r>
      <w:r w:rsidRPr="00A416B7">
        <w:rPr>
          <w:rFonts w:ascii="Arial" w:hAnsi="Arial" w:cs="Arial"/>
          <w:sz w:val="20"/>
        </w:rPr>
        <w:t>.</w:t>
      </w:r>
      <w:bookmarkStart w:id="0" w:name="_GoBack"/>
      <w:bookmarkEnd w:id="0"/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 xml:space="preserve">Technickou kvalifikaci podle § 79 odst. 2 písm. a) zákona splní účastník zadávacího řízení, který předloží seznam </w:t>
      </w:r>
      <w:r w:rsidR="00AF018D">
        <w:rPr>
          <w:rFonts w:ascii="Arial" w:hAnsi="Arial" w:cs="Arial"/>
          <w:sz w:val="20"/>
        </w:rPr>
        <w:t>významných dodávek</w:t>
      </w:r>
      <w:r w:rsidRPr="00267114">
        <w:rPr>
          <w:rFonts w:ascii="Arial" w:hAnsi="Arial" w:cs="Arial"/>
          <w:sz w:val="20"/>
        </w:rPr>
        <w:t>, které realizoval v posledních</w:t>
      </w:r>
      <w:r w:rsidRPr="00267114">
        <w:rPr>
          <w:rFonts w:ascii="Arial" w:hAnsi="Arial" w:cs="Arial"/>
          <w:b/>
          <w:sz w:val="20"/>
        </w:rPr>
        <w:t xml:space="preserve"> </w:t>
      </w:r>
      <w:r w:rsidR="00A416B7">
        <w:rPr>
          <w:rFonts w:ascii="Arial" w:hAnsi="Arial" w:cs="Arial"/>
          <w:b/>
          <w:sz w:val="20"/>
        </w:rPr>
        <w:t>třech</w:t>
      </w:r>
      <w:r w:rsidRPr="00267114">
        <w:rPr>
          <w:rFonts w:ascii="Arial" w:hAnsi="Arial" w:cs="Arial"/>
          <w:b/>
          <w:sz w:val="20"/>
        </w:rPr>
        <w:t xml:space="preserve"> letech</w:t>
      </w:r>
      <w:r w:rsidRPr="00267114">
        <w:rPr>
          <w:rFonts w:ascii="Arial" w:hAnsi="Arial" w:cs="Arial"/>
          <w:sz w:val="20"/>
        </w:rPr>
        <w:t xml:space="preserve"> </w:t>
      </w:r>
      <w:r w:rsidR="00F16A39">
        <w:rPr>
          <w:rFonts w:ascii="Arial" w:hAnsi="Arial" w:cs="Arial"/>
          <w:sz w:val="20"/>
        </w:rPr>
        <w:t>s uvedením ceny, doby poskytnutí a identifikací objednatele.</w:t>
      </w:r>
    </w:p>
    <w:p w:rsidR="00F16A39" w:rsidRDefault="00F16A39" w:rsidP="00DF12F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Splnění technické kvalifikace prokáže účastník zadávacího řízení, který předloží seznam nejméně 3 (tří) významných dodávek realizovaných v posledních třech letech, z nichž každá obsahuje dodání minimálně 15 ks nových oken</w:t>
      </w:r>
      <w:r w:rsidR="008D7B41">
        <w:rPr>
          <w:rFonts w:ascii="Arial" w:hAnsi="Arial" w:cs="Arial"/>
          <w:sz w:val="20"/>
        </w:rPr>
        <w:t>.</w:t>
      </w:r>
    </w:p>
    <w:p w:rsidR="008D7B41" w:rsidRDefault="008D7B41" w:rsidP="008D7B41">
      <w:pPr>
        <w:pStyle w:val="Mujstyltecky"/>
        <w:keepNext/>
        <w:numPr>
          <w:ilvl w:val="0"/>
          <w:numId w:val="0"/>
        </w:numPr>
        <w:tabs>
          <w:tab w:val="left" w:pos="708"/>
        </w:tabs>
        <w:spacing w:before="120" w:after="120" w:line="240" w:lineRule="auto"/>
        <w:ind w:left="1276"/>
        <w:rPr>
          <w:rFonts w:ascii="Arial" w:hAnsi="Arial" w:cs="Arial"/>
          <w:bCs/>
          <w:sz w:val="20"/>
          <w:lang w:eastAsia="cs-CZ"/>
        </w:rPr>
      </w:pPr>
      <w:r w:rsidRPr="00735174">
        <w:rPr>
          <w:rFonts w:ascii="Arial" w:hAnsi="Arial" w:cs="Arial"/>
          <w:bCs/>
          <w:sz w:val="20"/>
          <w:lang w:eastAsia="cs-CZ"/>
        </w:rPr>
        <w:lastRenderedPageBreak/>
        <w:t>V souladu s § 79 odst. 3 ZZVZ zadavatel dále stanovuje, že bude akceptovat i významné dodávky dokončené v době po zahájení zadávacího řízení do konce lhůty pro podání nabídek.</w:t>
      </w:r>
    </w:p>
    <w:p w:rsidR="00A63B96" w:rsidRPr="00735174" w:rsidRDefault="00A63B96" w:rsidP="00A63B96">
      <w:pPr>
        <w:pStyle w:val="Mujstyltecky"/>
        <w:keepNext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735174">
        <w:rPr>
          <w:rFonts w:ascii="Arial" w:hAnsi="Arial" w:cs="Arial"/>
          <w:sz w:val="20"/>
        </w:rPr>
        <w:t xml:space="preserve">K prokázání splnění technické kvalifikace uvedením seznamu významných dodávek může účastník zadávacího řízení využít přiloženou </w:t>
      </w:r>
      <w:r w:rsidRPr="00735174">
        <w:rPr>
          <w:rFonts w:ascii="Arial" w:hAnsi="Arial" w:cs="Arial"/>
          <w:b/>
          <w:sz w:val="20"/>
        </w:rPr>
        <w:t>přílohu F</w:t>
      </w:r>
      <w:r w:rsidR="00877348">
        <w:rPr>
          <w:rFonts w:ascii="Arial" w:hAnsi="Arial" w:cs="Arial"/>
          <w:b/>
          <w:sz w:val="20"/>
        </w:rPr>
        <w:t>2-1</w:t>
      </w:r>
      <w:r w:rsidRPr="00735174">
        <w:rPr>
          <w:rFonts w:ascii="Arial" w:hAnsi="Arial" w:cs="Arial"/>
          <w:sz w:val="20"/>
        </w:rPr>
        <w:t xml:space="preserve">. </w:t>
      </w:r>
    </w:p>
    <w:p w:rsidR="00A63B96" w:rsidRPr="00735174" w:rsidRDefault="00A63B96" w:rsidP="008D7B41">
      <w:pPr>
        <w:pStyle w:val="Mujstyltecky"/>
        <w:keepNext/>
        <w:numPr>
          <w:ilvl w:val="0"/>
          <w:numId w:val="0"/>
        </w:numPr>
        <w:tabs>
          <w:tab w:val="left" w:pos="708"/>
        </w:tabs>
        <w:spacing w:before="120" w:after="120" w:line="240" w:lineRule="auto"/>
        <w:ind w:left="1276"/>
        <w:rPr>
          <w:rFonts w:ascii="Arial" w:hAnsi="Arial" w:cs="Arial"/>
          <w:bCs/>
          <w:sz w:val="20"/>
          <w:lang w:eastAsia="cs-CZ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DF12FE" w:rsidRDefault="008D17A5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735174">
        <w:rPr>
          <w:rFonts w:ascii="Arial" w:hAnsi="Arial" w:cs="Arial"/>
          <w:b w:val="0"/>
        </w:rPr>
        <w:t xml:space="preserve">Doklady, kterými účastník zadávací řízení prokazuje základní způsobilost podle § 74 a profesní způsobilost podle § 77 odst. 1 (výpis z obchodního rejstříku) musí prokazovat splnění požadovaného kritéria způsobilosti nejpozději v době </w:t>
      </w:r>
      <w:r w:rsidRPr="00735174">
        <w:rPr>
          <w:rFonts w:ascii="Arial" w:hAnsi="Arial" w:cs="Arial"/>
          <w:b w:val="0"/>
          <w:u w:val="single"/>
        </w:rPr>
        <w:t>3 měsíců</w:t>
      </w:r>
      <w:r w:rsidRPr="00735174">
        <w:rPr>
          <w:rFonts w:ascii="Arial" w:hAnsi="Arial" w:cs="Arial"/>
          <w:b w:val="0"/>
        </w:rPr>
        <w:t xml:space="preserve"> přede dnem </w:t>
      </w:r>
      <w:r w:rsidRPr="00DF12FE">
        <w:rPr>
          <w:rFonts w:ascii="Arial" w:hAnsi="Arial" w:cs="Arial"/>
          <w:b w:val="0"/>
        </w:rPr>
        <w:t>podání nabídky</w:t>
      </w:r>
      <w:r w:rsidR="009D3866" w:rsidRPr="00DF12FE">
        <w:rPr>
          <w:rFonts w:ascii="Arial" w:hAnsi="Arial" w:cs="Arial"/>
          <w:b w:val="0"/>
        </w:rPr>
        <w:t xml:space="preserve">. </w:t>
      </w:r>
    </w:p>
    <w:p w:rsidR="009D3866" w:rsidRPr="00DF12FE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DF12FE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DF12FE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DF12FE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DF12FE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DF12FE">
        <w:rPr>
          <w:rFonts w:ascii="Arial" w:hAnsi="Arial" w:cs="Arial"/>
        </w:rPr>
        <w:t xml:space="preserve">Dodavatel předkládá doklady o kvalifikaci v nabídce v kopiích. </w:t>
      </w:r>
      <w:r w:rsidRPr="00DF12FE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DF12FE">
        <w:rPr>
          <w:rFonts w:ascii="Arial" w:hAnsi="Arial" w:cs="Arial"/>
        </w:rPr>
        <w:t>F2-1</w:t>
      </w:r>
      <w:r w:rsidRPr="00DF12FE">
        <w:rPr>
          <w:rFonts w:ascii="Arial" w:hAnsi="Arial" w:cs="Arial"/>
          <w:b w:val="0"/>
        </w:rPr>
        <w:t>.</w:t>
      </w:r>
      <w:r w:rsidRPr="00DF12FE">
        <w:rPr>
          <w:rFonts w:ascii="Arial" w:hAnsi="Arial" w:cs="Arial"/>
        </w:rPr>
        <w:t xml:space="preserve"> </w:t>
      </w:r>
    </w:p>
    <w:p w:rsidR="00CC1002" w:rsidRPr="00C941AF" w:rsidRDefault="00CC1002" w:rsidP="00DF12FE">
      <w:pPr>
        <w:numPr>
          <w:ilvl w:val="0"/>
          <w:numId w:val="1"/>
        </w:numPr>
        <w:tabs>
          <w:tab w:val="num" w:pos="0"/>
        </w:tabs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C941AF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(systém e-</w:t>
      </w:r>
      <w:proofErr w:type="spellStart"/>
      <w:r w:rsidRPr="00C941AF">
        <w:rPr>
          <w:rFonts w:ascii="Arial" w:hAnsi="Arial" w:cs="Arial"/>
          <w:b w:val="0"/>
        </w:rPr>
        <w:t>Certis</w:t>
      </w:r>
      <w:proofErr w:type="spellEnd"/>
      <w:r w:rsidRPr="00C941AF">
        <w:rPr>
          <w:rFonts w:ascii="Arial" w:hAnsi="Arial" w:cs="Arial"/>
          <w:b w:val="0"/>
        </w:rPr>
        <w:t>).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proofErr w:type="gramStart"/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proofErr w:type="gramEnd"/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20AB9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  <w:proofErr w:type="gramStart"/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proofErr w:type="gramEnd"/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620AB9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0E2F466A"/>
    <w:multiLevelType w:val="hybridMultilevel"/>
    <w:tmpl w:val="05FA9BC4"/>
    <w:lvl w:ilvl="0" w:tplc="04050003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3" w:hanging="360"/>
      </w:pPr>
      <w:rPr>
        <w:rFonts w:ascii="Wingdings" w:hAnsi="Wingdings" w:hint="default"/>
      </w:rPr>
    </w:lvl>
  </w:abstractNum>
  <w:abstractNum w:abstractNumId="9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10" w15:restartNumberingAfterBreak="0">
    <w:nsid w:val="139B4255"/>
    <w:multiLevelType w:val="hybridMultilevel"/>
    <w:tmpl w:val="D7903DD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3" w15:restartNumberingAfterBreak="0">
    <w:nsid w:val="5993137F"/>
    <w:multiLevelType w:val="hybridMultilevel"/>
    <w:tmpl w:val="2FF05F60"/>
    <w:lvl w:ilvl="0" w:tplc="5FFA853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5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6002E"/>
    <w:multiLevelType w:val="hybridMultilevel"/>
    <w:tmpl w:val="3DD2337E"/>
    <w:lvl w:ilvl="0" w:tplc="EC48143A">
      <w:start w:val="1"/>
      <w:numFmt w:val="decimal"/>
      <w:lvlText w:val="4.%1."/>
      <w:lvlJc w:val="left"/>
      <w:pPr>
        <w:ind w:left="1996" w:hanging="360"/>
      </w:pPr>
      <w:rPr>
        <w:rFonts w:eastAsia="Times New Roman" w:cs="Calibri" w:hint="default"/>
        <w:b/>
        <w:sz w:val="20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8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9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7"/>
  </w:num>
  <w:num w:numId="8">
    <w:abstractNumId w:val="5"/>
  </w:num>
  <w:num w:numId="9">
    <w:abstractNumId w:val="9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4"/>
  </w:num>
  <w:num w:numId="13">
    <w:abstractNumId w:val="6"/>
  </w:num>
  <w:num w:numId="14">
    <w:abstractNumId w:val="11"/>
  </w:num>
  <w:num w:numId="15">
    <w:abstractNumId w:val="12"/>
  </w:num>
  <w:num w:numId="16">
    <w:abstractNumId w:val="15"/>
  </w:num>
  <w:num w:numId="17">
    <w:abstractNumId w:val="13"/>
  </w:num>
  <w:num w:numId="18">
    <w:abstractNumId w:val="10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170FD"/>
    <w:rsid w:val="00060CFC"/>
    <w:rsid w:val="001330B0"/>
    <w:rsid w:val="001A4FDD"/>
    <w:rsid w:val="001B6786"/>
    <w:rsid w:val="001F6A67"/>
    <w:rsid w:val="00267114"/>
    <w:rsid w:val="00273835"/>
    <w:rsid w:val="002B6E17"/>
    <w:rsid w:val="003518AC"/>
    <w:rsid w:val="00374A5D"/>
    <w:rsid w:val="003B0605"/>
    <w:rsid w:val="00421086"/>
    <w:rsid w:val="00434928"/>
    <w:rsid w:val="004676BB"/>
    <w:rsid w:val="004926CB"/>
    <w:rsid w:val="004B1433"/>
    <w:rsid w:val="004E7B2F"/>
    <w:rsid w:val="005D514A"/>
    <w:rsid w:val="005F0ADA"/>
    <w:rsid w:val="00620AB9"/>
    <w:rsid w:val="006374A3"/>
    <w:rsid w:val="0067743B"/>
    <w:rsid w:val="006E7825"/>
    <w:rsid w:val="006F12FE"/>
    <w:rsid w:val="007327C3"/>
    <w:rsid w:val="00764D45"/>
    <w:rsid w:val="007F6BB9"/>
    <w:rsid w:val="00863100"/>
    <w:rsid w:val="00872E82"/>
    <w:rsid w:val="00877348"/>
    <w:rsid w:val="008D17A5"/>
    <w:rsid w:val="008D7B41"/>
    <w:rsid w:val="00913AC1"/>
    <w:rsid w:val="00995272"/>
    <w:rsid w:val="009B161C"/>
    <w:rsid w:val="009C7E31"/>
    <w:rsid w:val="009D1110"/>
    <w:rsid w:val="009D3866"/>
    <w:rsid w:val="009D3D14"/>
    <w:rsid w:val="009E57B2"/>
    <w:rsid w:val="00A14A9B"/>
    <w:rsid w:val="00A416B7"/>
    <w:rsid w:val="00A63B96"/>
    <w:rsid w:val="00A66811"/>
    <w:rsid w:val="00AD6318"/>
    <w:rsid w:val="00AF018D"/>
    <w:rsid w:val="00B376CB"/>
    <w:rsid w:val="00B7456B"/>
    <w:rsid w:val="00B86693"/>
    <w:rsid w:val="00C02C6C"/>
    <w:rsid w:val="00C32F49"/>
    <w:rsid w:val="00C90F39"/>
    <w:rsid w:val="00C941AF"/>
    <w:rsid w:val="00CC1002"/>
    <w:rsid w:val="00CF7263"/>
    <w:rsid w:val="00D27EDC"/>
    <w:rsid w:val="00DF023E"/>
    <w:rsid w:val="00DF12FE"/>
    <w:rsid w:val="00EF757B"/>
    <w:rsid w:val="00F1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16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16B7"/>
    <w:rPr>
      <w:rFonts w:ascii="Segoe UI" w:eastAsia="Times New Roman" w:hAnsi="Segoe UI" w:cs="Segoe UI"/>
      <w:b/>
      <w:sz w:val="18"/>
      <w:szCs w:val="18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416B7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964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49</cp:revision>
  <dcterms:created xsi:type="dcterms:W3CDTF">2022-01-20T14:17:00Z</dcterms:created>
  <dcterms:modified xsi:type="dcterms:W3CDTF">2025-04-09T12:01:00Z</dcterms:modified>
</cp:coreProperties>
</file>