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veřejné zakázce na stavební práce, zadávané </w:t>
            </w:r>
            <w:r w:rsidR="00FA242B"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v otevřeném podlimitním řízení podle § 52 písm. b) ve spojení s § 56 a násl.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336D5E" w:rsidRDefault="00336D5E"/>
    <w:sectPr w:rsidR="00336D5E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A242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A242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A24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36D5E"/>
    <w:rsid w:val="003B5C1B"/>
    <w:rsid w:val="0047523B"/>
    <w:rsid w:val="004A0024"/>
    <w:rsid w:val="00536E15"/>
    <w:rsid w:val="0057737C"/>
    <w:rsid w:val="009A1012"/>
    <w:rsid w:val="00A83C4E"/>
    <w:rsid w:val="00B62326"/>
    <w:rsid w:val="00B90B20"/>
    <w:rsid w:val="00D765D3"/>
    <w:rsid w:val="00EE167B"/>
    <w:rsid w:val="00F80CD1"/>
    <w:rsid w:val="00FA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2025-07-01T15:11:00Z</dcterms:modified>
</cp:coreProperties>
</file>